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after="120" w:afterLines="50" w:line="360" w:lineRule="auto"/>
        <w:jc w:val="center"/>
        <w:rPr>
          <w:rFonts w:eastAsia="仿宋_GB2312"/>
          <w:b/>
          <w:sz w:val="44"/>
          <w:szCs w:val="44"/>
          <w:lang w:val="en-US"/>
        </w:rPr>
      </w:pPr>
    </w:p>
    <w:p>
      <w:pPr>
        <w:pStyle w:val="7"/>
        <w:spacing w:after="120" w:afterLines="50" w:line="360" w:lineRule="auto"/>
        <w:jc w:val="center"/>
        <w:rPr>
          <w:rFonts w:eastAsia="仿宋_GB2312"/>
          <w:b/>
          <w:sz w:val="44"/>
          <w:szCs w:val="44"/>
          <w:lang w:val="en-US"/>
        </w:rPr>
      </w:pPr>
    </w:p>
    <w:p>
      <w:pPr>
        <w:pStyle w:val="7"/>
        <w:spacing w:after="120" w:afterLines="50" w:line="360" w:lineRule="auto"/>
        <w:jc w:val="center"/>
        <w:rPr>
          <w:rFonts w:eastAsia="仿宋_GB2312"/>
          <w:b/>
          <w:sz w:val="44"/>
          <w:szCs w:val="44"/>
          <w:lang w:val="en-US"/>
        </w:rPr>
      </w:pPr>
      <w:r>
        <w:rPr>
          <w:rFonts w:hint="eastAsia" w:eastAsia="仿宋_GB2312"/>
          <w:b/>
          <w:sz w:val="44"/>
          <w:szCs w:val="44"/>
          <w:lang w:val="en-US"/>
        </w:rPr>
        <w:t>咸阳恒泰热处理技术有限公司</w:t>
      </w:r>
    </w:p>
    <w:p>
      <w:pPr>
        <w:pStyle w:val="7"/>
        <w:spacing w:after="120" w:afterLines="50" w:line="360" w:lineRule="auto"/>
        <w:jc w:val="center"/>
        <w:rPr>
          <w:rFonts w:eastAsia="仿宋_GB2312"/>
          <w:b/>
          <w:sz w:val="44"/>
          <w:szCs w:val="44"/>
          <w:lang w:val="en-US"/>
        </w:rPr>
      </w:pPr>
      <w:r>
        <w:rPr>
          <w:rFonts w:hint="eastAsia" w:eastAsia="仿宋_GB2312"/>
          <w:b/>
          <w:sz w:val="44"/>
          <w:szCs w:val="44"/>
          <w:lang w:val="en-US"/>
        </w:rPr>
        <w:t>环境应急资源调查报告</w:t>
      </w:r>
    </w:p>
    <w:p>
      <w:pPr>
        <w:overflowPunct w:val="0"/>
        <w:spacing w:line="520" w:lineRule="exact"/>
        <w:rPr>
          <w:sz w:val="52"/>
          <w:szCs w:val="52"/>
        </w:rPr>
      </w:pPr>
      <w:bookmarkStart w:id="0" w:name="_GoBack"/>
      <w:bookmarkEnd w:id="0"/>
    </w:p>
    <w:p>
      <w:pPr>
        <w:overflowPunct w:val="0"/>
        <w:spacing w:line="520" w:lineRule="exact"/>
        <w:rPr>
          <w:sz w:val="52"/>
          <w:szCs w:val="52"/>
        </w:rPr>
      </w:pPr>
    </w:p>
    <w:p>
      <w:pPr>
        <w:overflowPunct w:val="0"/>
        <w:spacing w:line="520" w:lineRule="exact"/>
        <w:rPr>
          <w:sz w:val="52"/>
          <w:szCs w:val="52"/>
        </w:rPr>
      </w:pPr>
    </w:p>
    <w:p>
      <w:pPr>
        <w:overflowPunct w:val="0"/>
        <w:spacing w:line="520" w:lineRule="exact"/>
        <w:rPr>
          <w:sz w:val="52"/>
          <w:szCs w:val="52"/>
        </w:rPr>
      </w:pPr>
    </w:p>
    <w:p>
      <w:pPr>
        <w:overflowPunct w:val="0"/>
        <w:spacing w:line="520" w:lineRule="exact"/>
        <w:rPr>
          <w:sz w:val="52"/>
          <w:szCs w:val="52"/>
        </w:rPr>
      </w:pPr>
    </w:p>
    <w:p>
      <w:pPr>
        <w:overflowPunct w:val="0"/>
        <w:spacing w:line="520" w:lineRule="exact"/>
        <w:rPr>
          <w:sz w:val="52"/>
          <w:szCs w:val="52"/>
        </w:rPr>
      </w:pPr>
    </w:p>
    <w:p>
      <w:pPr>
        <w:overflowPunct w:val="0"/>
        <w:spacing w:line="520" w:lineRule="exact"/>
        <w:rPr>
          <w:sz w:val="52"/>
          <w:szCs w:val="52"/>
        </w:rPr>
      </w:pPr>
    </w:p>
    <w:p>
      <w:pPr>
        <w:overflowPunct w:val="0"/>
        <w:spacing w:line="520" w:lineRule="exact"/>
        <w:rPr>
          <w:sz w:val="52"/>
          <w:szCs w:val="52"/>
        </w:rPr>
      </w:pPr>
    </w:p>
    <w:p>
      <w:pPr>
        <w:overflowPunct w:val="0"/>
        <w:spacing w:line="520" w:lineRule="exact"/>
        <w:rPr>
          <w:sz w:val="52"/>
          <w:szCs w:val="52"/>
        </w:rPr>
      </w:pPr>
    </w:p>
    <w:p>
      <w:pPr>
        <w:overflowPunct w:val="0"/>
        <w:spacing w:line="520" w:lineRule="exact"/>
        <w:rPr>
          <w:sz w:val="52"/>
          <w:szCs w:val="52"/>
        </w:rPr>
      </w:pPr>
    </w:p>
    <w:p>
      <w:pPr>
        <w:overflowPunct w:val="0"/>
        <w:spacing w:line="520" w:lineRule="exact"/>
        <w:rPr>
          <w:sz w:val="52"/>
          <w:szCs w:val="52"/>
        </w:rPr>
      </w:pPr>
    </w:p>
    <w:p>
      <w:pPr>
        <w:pStyle w:val="7"/>
        <w:spacing w:after="120" w:afterLines="50" w:line="360" w:lineRule="auto"/>
        <w:jc w:val="center"/>
        <w:rPr>
          <w:rFonts w:ascii="仿宋_GB2312" w:eastAsia="仿宋_GB2312"/>
          <w:b/>
          <w:sz w:val="32"/>
          <w:szCs w:val="32"/>
          <w:lang w:val="en-US"/>
        </w:rPr>
      </w:pPr>
      <w:r>
        <w:rPr>
          <w:rFonts w:hint="eastAsia" w:ascii="仿宋_GB2312" w:eastAsia="仿宋_GB2312"/>
          <w:b/>
          <w:sz w:val="32"/>
          <w:szCs w:val="32"/>
          <w:lang w:val="en-US"/>
        </w:rPr>
        <w:t>咸阳恒泰热处理技术有限公司</w:t>
      </w:r>
    </w:p>
    <w:p>
      <w:pPr>
        <w:pStyle w:val="7"/>
        <w:spacing w:after="120" w:afterLines="50" w:line="360" w:lineRule="auto"/>
        <w:jc w:val="center"/>
        <w:rPr>
          <w:rFonts w:ascii="仿宋_GB2312" w:eastAsia="仿宋_GB2312"/>
          <w:b/>
          <w:sz w:val="32"/>
          <w:szCs w:val="32"/>
          <w:lang w:val="en-US"/>
        </w:rPr>
      </w:pPr>
      <w:r>
        <w:rPr>
          <w:rFonts w:hint="eastAsia" w:ascii="仿宋_GB2312" w:eastAsia="仿宋_GB2312"/>
          <w:b/>
          <w:sz w:val="32"/>
          <w:szCs w:val="32"/>
          <w:lang w:val="en-US"/>
        </w:rPr>
        <w:t>二〇二〇年五月</w:t>
      </w:r>
    </w:p>
    <w:p>
      <w:pPr>
        <w:pStyle w:val="4"/>
        <w:overflowPunct w:val="0"/>
        <w:spacing w:before="0" w:line="413" w:lineRule="auto"/>
        <w:ind w:left="2092" w:right="2090"/>
        <w:jc w:val="center"/>
        <w:sectPr>
          <w:headerReference r:id="rId3" w:type="default"/>
          <w:footerReference r:id="rId4" w:type="default"/>
          <w:pgSz w:w="11910" w:h="16840"/>
          <w:pgMar w:top="1600" w:right="1680" w:bottom="280" w:left="1680" w:header="0" w:footer="0" w:gutter="0"/>
          <w:cols w:equalWidth="0" w:num="1">
            <w:col w:w="8550"/>
          </w:cols>
        </w:sectPr>
      </w:pPr>
    </w:p>
    <w:p>
      <w:pPr>
        <w:overflowPunct w:val="0"/>
        <w:spacing w:line="200" w:lineRule="exact"/>
        <w:rPr>
          <w:sz w:val="20"/>
          <w:szCs w:val="20"/>
        </w:rPr>
      </w:pPr>
    </w:p>
    <w:p>
      <w:pPr>
        <w:overflowPunct w:val="0"/>
        <w:spacing w:line="240" w:lineRule="exact"/>
        <w:rPr>
          <w:rFonts w:eastAsia="仿宋_GB2312"/>
          <w:sz w:val="28"/>
          <w:szCs w:val="28"/>
          <w:lang w:val="zh-CN"/>
        </w:rPr>
      </w:pPr>
    </w:p>
    <w:p>
      <w:pPr>
        <w:pStyle w:val="2"/>
        <w:numPr>
          <w:ilvl w:val="0"/>
          <w:numId w:val="1"/>
        </w:numPr>
        <w:spacing w:line="360" w:lineRule="auto"/>
        <w:ind w:left="0" w:firstLine="0"/>
        <w:rPr>
          <w:b/>
          <w:sz w:val="28"/>
          <w:szCs w:val="28"/>
        </w:rPr>
      </w:pPr>
      <w:r>
        <w:rPr>
          <w:rFonts w:hint="eastAsia"/>
          <w:b/>
          <w:sz w:val="28"/>
          <w:szCs w:val="28"/>
        </w:rPr>
        <w:t>应急资源调查的目的</w:t>
      </w:r>
    </w:p>
    <w:p>
      <w:pPr>
        <w:pStyle w:val="26"/>
        <w:spacing w:line="360" w:lineRule="auto"/>
        <w:ind w:left="435" w:firstLine="0" w:firstLineChars="0"/>
        <w:jc w:val="both"/>
        <w:rPr>
          <w:rFonts w:ascii="仿宋" w:hAnsi="仿宋" w:eastAsia="仿宋"/>
          <w:sz w:val="28"/>
          <w:szCs w:val="28"/>
        </w:rPr>
      </w:pPr>
      <w:r>
        <w:rPr>
          <w:rFonts w:hint="eastAsia" w:ascii="仿宋" w:hAnsi="仿宋" w:eastAsia="仿宋"/>
          <w:sz w:val="28"/>
          <w:szCs w:val="28"/>
        </w:rPr>
        <w:t>突发性环境污染事件是威胁人类健康、破坏生态环境的重要因素，</w:t>
      </w:r>
    </w:p>
    <w:p>
      <w:pPr>
        <w:spacing w:line="360" w:lineRule="auto"/>
        <w:jc w:val="both"/>
        <w:rPr>
          <w:rFonts w:ascii="仿宋" w:hAnsi="仿宋" w:eastAsia="仿宋"/>
          <w:sz w:val="28"/>
          <w:szCs w:val="28"/>
        </w:rPr>
      </w:pPr>
      <w:r>
        <w:rPr>
          <w:rFonts w:hint="eastAsia" w:ascii="仿宋" w:hAnsi="仿宋" w:eastAsia="仿宋"/>
          <w:sz w:val="28"/>
          <w:szCs w:val="28"/>
        </w:rPr>
        <w:t>其危害制约着生态平衡及经济、社会的发展。迫切需要我们做好突发性环境污染事件的预防，提高对突发性环境污染事故处置的应急能力。应急资源是突发环境事件应急处置的基础。目前大部分企业自身应急资源不足应对各类突发环境事件，若不开展应急资源调查，则无对应急人力、财力、装备进行科学地调配和引进，据此特编制本环境急资源调查报告。</w:t>
      </w:r>
    </w:p>
    <w:p>
      <w:pPr>
        <w:pStyle w:val="2"/>
        <w:numPr>
          <w:ilvl w:val="0"/>
          <w:numId w:val="1"/>
        </w:numPr>
        <w:spacing w:line="360" w:lineRule="auto"/>
        <w:ind w:left="0" w:firstLine="0"/>
        <w:rPr>
          <w:rFonts w:eastAsia="仿宋_GB2312"/>
          <w:sz w:val="28"/>
          <w:szCs w:val="28"/>
          <w:lang w:val="zh-CN"/>
        </w:rPr>
      </w:pPr>
      <w:r>
        <w:rPr>
          <w:rFonts w:hint="eastAsia"/>
          <w:b/>
          <w:sz w:val="28"/>
          <w:szCs w:val="28"/>
        </w:rPr>
        <w:t>突发环境事件所需应急资源</w:t>
      </w:r>
    </w:p>
    <w:p>
      <w:pPr>
        <w:spacing w:line="360" w:lineRule="auto"/>
        <w:ind w:firstLine="560" w:firstLineChars="200"/>
        <w:rPr>
          <w:rFonts w:eastAsia="仿宋"/>
          <w:sz w:val="28"/>
          <w:szCs w:val="28"/>
          <w:lang w:val="zh-CN"/>
        </w:rPr>
      </w:pPr>
      <w:r>
        <w:rPr>
          <w:rFonts w:eastAsia="仿宋"/>
          <w:sz w:val="28"/>
          <w:szCs w:val="28"/>
          <w:lang w:val="zh-CN"/>
        </w:rPr>
        <w:t>《咸阳恒泰热处理技术有限公司突发环境事件风险评估报告》第</w:t>
      </w:r>
      <w:r>
        <w:rPr>
          <w:rFonts w:eastAsia="仿宋"/>
          <w:sz w:val="28"/>
          <w:szCs w:val="28"/>
        </w:rPr>
        <w:t>5.2</w:t>
      </w:r>
      <w:r>
        <w:rPr>
          <w:rFonts w:eastAsia="仿宋"/>
          <w:sz w:val="28"/>
          <w:szCs w:val="28"/>
          <w:lang w:val="zh-CN"/>
        </w:rPr>
        <w:t>节给出了企业可能发生的突发环境事件情景主要有：</w:t>
      </w:r>
    </w:p>
    <w:p>
      <w:pPr>
        <w:spacing w:line="360" w:lineRule="auto"/>
        <w:ind w:firstLine="560" w:firstLineChars="200"/>
        <w:rPr>
          <w:rFonts w:eastAsia="仿宋"/>
          <w:sz w:val="28"/>
          <w:szCs w:val="28"/>
          <w:lang w:val="zh-CN"/>
        </w:rPr>
      </w:pPr>
      <w:r>
        <w:rPr>
          <w:rFonts w:eastAsia="仿宋"/>
          <w:sz w:val="28"/>
          <w:szCs w:val="28"/>
        </w:rPr>
        <w:t>(1)物料泄露</w:t>
      </w:r>
      <w:r>
        <w:rPr>
          <w:rFonts w:eastAsia="仿宋"/>
          <w:sz w:val="28"/>
          <w:szCs w:val="28"/>
          <w:lang w:val="zh-CN"/>
        </w:rPr>
        <w:t>有可能直接对土壤和水环境造成环境污染；</w:t>
      </w:r>
    </w:p>
    <w:p>
      <w:pPr>
        <w:spacing w:line="360" w:lineRule="auto"/>
        <w:ind w:firstLine="560" w:firstLineChars="200"/>
        <w:rPr>
          <w:rFonts w:eastAsia="仿宋"/>
          <w:sz w:val="28"/>
          <w:szCs w:val="28"/>
          <w:lang w:val="zh-CN"/>
        </w:rPr>
      </w:pPr>
      <w:r>
        <w:rPr>
          <w:rFonts w:eastAsia="仿宋"/>
          <w:sz w:val="28"/>
          <w:szCs w:val="28"/>
        </w:rPr>
        <w:t>(2)</w:t>
      </w:r>
      <w:r>
        <w:rPr>
          <w:rFonts w:eastAsia="仿宋"/>
          <w:sz w:val="28"/>
          <w:szCs w:val="28"/>
          <w:lang w:val="zh-CN"/>
        </w:rPr>
        <w:t>易燃物料泄漏后遇明火会发生火灾，会产生CO等有毒有害气体，对大气环境造成污染。而灭火会产生消防废水，消防废水用消防废水收集罐收集，未被收集的消防废水，会对水环境造成不良影响；</w:t>
      </w:r>
    </w:p>
    <w:p>
      <w:pPr>
        <w:spacing w:line="360" w:lineRule="auto"/>
        <w:ind w:firstLine="560" w:firstLineChars="200"/>
        <w:rPr>
          <w:rFonts w:eastAsia="仿宋"/>
          <w:sz w:val="28"/>
          <w:szCs w:val="28"/>
          <w:lang w:val="zh-CN"/>
        </w:rPr>
      </w:pPr>
      <w:r>
        <w:rPr>
          <w:rFonts w:eastAsia="仿宋"/>
          <w:sz w:val="28"/>
          <w:szCs w:val="28"/>
        </w:rPr>
        <w:t>(3)</w:t>
      </w:r>
      <w:r>
        <w:rPr>
          <w:rFonts w:eastAsia="仿宋"/>
          <w:sz w:val="28"/>
          <w:szCs w:val="28"/>
          <w:lang w:val="zh-CN"/>
        </w:rPr>
        <w:t>污染治理设施非正常运行导致的</w:t>
      </w:r>
      <w:r>
        <w:rPr>
          <w:rFonts w:eastAsia="仿宋"/>
          <w:sz w:val="28"/>
          <w:szCs w:val="28"/>
        </w:rPr>
        <w:t>废气</w:t>
      </w:r>
      <w:r>
        <w:rPr>
          <w:rFonts w:eastAsia="仿宋"/>
          <w:sz w:val="28"/>
          <w:szCs w:val="28"/>
          <w:lang w:val="zh-CN"/>
        </w:rPr>
        <w:t>直接排放。</w:t>
      </w:r>
    </w:p>
    <w:p>
      <w:pPr>
        <w:spacing w:line="360" w:lineRule="auto"/>
        <w:ind w:firstLine="560" w:firstLineChars="200"/>
        <w:rPr>
          <w:rFonts w:eastAsia="仿宋"/>
          <w:sz w:val="28"/>
          <w:szCs w:val="28"/>
          <w:lang w:val="zh-CN"/>
        </w:rPr>
      </w:pPr>
      <w:r>
        <w:rPr>
          <w:rFonts w:eastAsia="仿宋"/>
          <w:sz w:val="28"/>
          <w:szCs w:val="28"/>
          <w:lang w:val="zh-CN"/>
        </w:rPr>
        <w:t>报告重点针对这几类事故提出了如下要求：</w:t>
      </w:r>
    </w:p>
    <w:p>
      <w:pPr>
        <w:spacing w:line="360" w:lineRule="auto"/>
        <w:ind w:firstLine="560" w:firstLineChars="200"/>
      </w:pPr>
      <w:r>
        <w:rPr>
          <w:rFonts w:eastAsia="仿宋"/>
          <w:sz w:val="28"/>
          <w:szCs w:val="28"/>
          <w:lang w:val="zh-CN"/>
        </w:rPr>
        <w:t>应急物资要求做好</w:t>
      </w:r>
      <w:r>
        <w:rPr>
          <w:rFonts w:hint="eastAsia" w:eastAsia="仿宋"/>
          <w:sz w:val="28"/>
          <w:szCs w:val="28"/>
        </w:rPr>
        <w:t>易燃物料</w:t>
      </w:r>
      <w:r>
        <w:rPr>
          <w:rFonts w:eastAsia="仿宋"/>
          <w:sz w:val="28"/>
          <w:szCs w:val="28"/>
          <w:lang w:val="zh-CN"/>
        </w:rPr>
        <w:t>火灾灭火所需的干粉灭火</w:t>
      </w:r>
      <w:r>
        <w:rPr>
          <w:rFonts w:hint="eastAsia" w:eastAsia="仿宋"/>
          <w:sz w:val="28"/>
          <w:szCs w:val="28"/>
        </w:rPr>
        <w:t>器</w:t>
      </w:r>
      <w:r>
        <w:rPr>
          <w:rFonts w:eastAsia="仿宋"/>
          <w:sz w:val="28"/>
          <w:szCs w:val="28"/>
          <w:lang w:val="zh-CN"/>
        </w:rPr>
        <w:t>、</w:t>
      </w:r>
      <w:r>
        <w:rPr>
          <w:rFonts w:hint="eastAsia" w:eastAsia="仿宋"/>
          <w:sz w:val="28"/>
          <w:szCs w:val="28"/>
        </w:rPr>
        <w:t>消防器材</w:t>
      </w:r>
      <w:r>
        <w:rPr>
          <w:rFonts w:eastAsia="仿宋"/>
          <w:sz w:val="28"/>
          <w:szCs w:val="28"/>
          <w:lang w:val="zh-CN"/>
        </w:rPr>
        <w:t>等设备，并符合安监消防的要求；应急救援队伍首先要求组建厂内应急队伍，人员要定岗，各岗位人员还要有备份，以满足事故应急需要。</w:t>
      </w:r>
    </w:p>
    <w:p>
      <w:pPr>
        <w:pStyle w:val="2"/>
        <w:numPr>
          <w:ilvl w:val="0"/>
          <w:numId w:val="1"/>
        </w:numPr>
        <w:spacing w:line="360" w:lineRule="auto"/>
        <w:ind w:left="0" w:firstLine="0"/>
        <w:rPr>
          <w:b/>
          <w:sz w:val="28"/>
          <w:szCs w:val="28"/>
        </w:rPr>
      </w:pPr>
      <w:r>
        <w:rPr>
          <w:rFonts w:hint="eastAsia"/>
          <w:b/>
          <w:sz w:val="28"/>
          <w:szCs w:val="28"/>
        </w:rPr>
        <w:t>环境应急人力资源调查</w:t>
      </w:r>
    </w:p>
    <w:p>
      <w:pPr>
        <w:spacing w:line="360" w:lineRule="auto"/>
        <w:ind w:right="214" w:rightChars="89" w:firstLine="560" w:firstLineChars="200"/>
        <w:jc w:val="both"/>
      </w:pPr>
      <w:r>
        <w:rPr>
          <w:rFonts w:hint="eastAsia" w:eastAsia="仿宋_GB2312"/>
          <w:sz w:val="28"/>
          <w:szCs w:val="28"/>
          <w:lang w:val="zh-CN"/>
        </w:rPr>
        <w:t>人力资源的合理配置是突发环境事件应急管理体系的重要环节之在“人、财、物”三大资源中，人力资源居于首位。本报告从人员配置、培训、应急演练等方面评价人力资源配置现状，为企业合理引进人才提供参考依据。</w:t>
      </w:r>
    </w:p>
    <w:p>
      <w:pPr>
        <w:tabs>
          <w:tab w:val="left" w:pos="9214"/>
        </w:tabs>
        <w:overflowPunct w:val="0"/>
        <w:spacing w:line="413" w:lineRule="auto"/>
        <w:ind w:left="142" w:leftChars="59" w:right="72" w:rightChars="30" w:firstLine="560"/>
        <w:rPr>
          <w:rFonts w:eastAsia="仿宋_GB2312"/>
          <w:sz w:val="28"/>
          <w:szCs w:val="28"/>
          <w:lang w:val="zh-CN"/>
        </w:rPr>
      </w:pPr>
      <w:r>
        <w:rPr>
          <w:rFonts w:hint="eastAsia" w:eastAsia="仿宋_GB2312"/>
          <w:sz w:val="28"/>
          <w:szCs w:val="28"/>
          <w:lang w:val="zh-CN"/>
        </w:rPr>
        <w:t>经调查企业现有应急救援体系如下，在应急组织中它们分别承担着指挥、危险源控制、人员救援、消防救援、警戒疏散的任务。</w:t>
      </w:r>
    </w:p>
    <w:p>
      <w:pPr>
        <w:tabs>
          <w:tab w:val="left" w:pos="9214"/>
        </w:tabs>
        <w:overflowPunct w:val="0"/>
        <w:spacing w:line="413" w:lineRule="auto"/>
        <w:ind w:left="142" w:leftChars="59" w:right="72" w:rightChars="30" w:firstLine="560"/>
        <w:rPr>
          <w:rFonts w:eastAsia="仿宋_GB2312"/>
          <w:sz w:val="28"/>
          <w:szCs w:val="28"/>
          <w:lang w:val="zh-CN"/>
        </w:rPr>
      </w:pPr>
      <w:r>
        <w:rPr>
          <w:rFonts w:hint="eastAsia" w:eastAsia="仿宋_GB2312"/>
          <w:sz w:val="28"/>
          <w:szCs w:val="28"/>
          <w:lang w:val="zh-CN"/>
        </w:rPr>
        <w:t>当前</w:t>
      </w:r>
      <w:r>
        <w:rPr>
          <w:rFonts w:hint="eastAsia" w:eastAsia="仿宋_GB2312"/>
          <w:sz w:val="28"/>
          <w:szCs w:val="28"/>
        </w:rPr>
        <w:t>秦汉新城</w:t>
      </w:r>
      <w:r>
        <w:rPr>
          <w:rFonts w:hint="eastAsia" w:eastAsia="仿宋_GB2312"/>
          <w:sz w:val="28"/>
          <w:szCs w:val="28"/>
          <w:lang w:val="zh-CN"/>
        </w:rPr>
        <w:t>已建成以公安消防队伍及其它优势专业应急救援队伍为依托的综合应急救援队伍，他们除承担消防工作外，同时还承担环境污染事故等突发事件的抢险救援工作，他们是一支训练有素且综合应变能力强的队伍。本项目可请求的政府部门联系电话。企业内部及外部应急救援队伍见下表</w:t>
      </w:r>
      <w:r>
        <w:rPr>
          <w:rFonts w:eastAsia="仿宋_GB2312"/>
          <w:sz w:val="28"/>
          <w:szCs w:val="28"/>
          <w:lang w:val="zh-CN"/>
        </w:rPr>
        <w:t>3-1</w:t>
      </w:r>
    </w:p>
    <w:p>
      <w:pPr>
        <w:overflowPunct w:val="0"/>
        <w:jc w:val="center"/>
        <w:rPr>
          <w:rFonts w:eastAsia="仿宋_GB2312"/>
          <w:b/>
          <w:kern w:val="24"/>
        </w:rPr>
      </w:pPr>
      <w:r>
        <w:rPr>
          <w:rFonts w:hint="eastAsia" w:eastAsia="仿宋_GB2312"/>
          <w:b/>
          <w:kern w:val="24"/>
        </w:rPr>
        <w:t>表</w:t>
      </w:r>
      <w:r>
        <w:rPr>
          <w:rFonts w:eastAsia="仿宋_GB2312"/>
          <w:b/>
          <w:kern w:val="24"/>
        </w:rPr>
        <w:t xml:space="preserve">3-1 </w:t>
      </w:r>
      <w:r>
        <w:rPr>
          <w:rFonts w:hint="eastAsia" w:eastAsia="仿宋_GB2312"/>
          <w:b/>
          <w:kern w:val="24"/>
        </w:rPr>
        <w:t>企业内部及外部应急救援队伍及人员</w:t>
      </w:r>
    </w:p>
    <w:tbl>
      <w:tblPr>
        <w:tblStyle w:val="12"/>
        <w:tblW w:w="4998"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16"/>
        <w:gridCol w:w="1350"/>
        <w:gridCol w:w="1565"/>
        <w:gridCol w:w="1476"/>
        <w:gridCol w:w="1437"/>
        <w:gridCol w:w="197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420" w:type="pct"/>
            <w:tcBorders>
              <w:tl2br w:val="nil"/>
              <w:tr2bl w:val="nil"/>
            </w:tcBorders>
            <w:vAlign w:val="center"/>
          </w:tcPr>
          <w:p>
            <w:pPr>
              <w:jc w:val="center"/>
              <w:rPr>
                <w:rFonts w:eastAsia="仿宋"/>
              </w:rPr>
            </w:pPr>
            <w:r>
              <w:rPr>
                <w:rFonts w:eastAsia="仿宋"/>
              </w:rPr>
              <w:t>序号</w:t>
            </w:r>
          </w:p>
        </w:tc>
        <w:tc>
          <w:tcPr>
            <w:tcW w:w="792" w:type="pct"/>
            <w:tcBorders>
              <w:tl2br w:val="nil"/>
              <w:tr2bl w:val="nil"/>
            </w:tcBorders>
            <w:vAlign w:val="center"/>
          </w:tcPr>
          <w:p>
            <w:pPr>
              <w:jc w:val="center"/>
              <w:rPr>
                <w:rFonts w:eastAsia="仿宋"/>
              </w:rPr>
            </w:pPr>
            <w:r>
              <w:rPr>
                <w:rFonts w:eastAsia="仿宋"/>
              </w:rPr>
              <w:t>部门</w:t>
            </w:r>
          </w:p>
        </w:tc>
        <w:tc>
          <w:tcPr>
            <w:tcW w:w="918" w:type="pct"/>
            <w:tcBorders>
              <w:tl2br w:val="nil"/>
              <w:tr2bl w:val="nil"/>
            </w:tcBorders>
            <w:vAlign w:val="center"/>
          </w:tcPr>
          <w:p>
            <w:pPr>
              <w:jc w:val="center"/>
              <w:rPr>
                <w:rFonts w:eastAsia="仿宋"/>
              </w:rPr>
            </w:pPr>
            <w:r>
              <w:rPr>
                <w:rFonts w:eastAsia="仿宋"/>
              </w:rPr>
              <w:t>职务</w:t>
            </w:r>
          </w:p>
        </w:tc>
        <w:tc>
          <w:tcPr>
            <w:tcW w:w="1709" w:type="pct"/>
            <w:gridSpan w:val="2"/>
            <w:tcBorders>
              <w:tl2br w:val="nil"/>
              <w:tr2bl w:val="nil"/>
            </w:tcBorders>
            <w:vAlign w:val="center"/>
          </w:tcPr>
          <w:p>
            <w:pPr>
              <w:jc w:val="center"/>
              <w:rPr>
                <w:rFonts w:eastAsia="仿宋"/>
              </w:rPr>
            </w:pPr>
            <w:r>
              <w:rPr>
                <w:rFonts w:eastAsia="仿宋"/>
              </w:rPr>
              <w:t>负责人</w:t>
            </w:r>
          </w:p>
        </w:tc>
        <w:tc>
          <w:tcPr>
            <w:tcW w:w="1159" w:type="pct"/>
            <w:tcBorders>
              <w:tl2br w:val="nil"/>
              <w:tr2bl w:val="nil"/>
            </w:tcBorders>
            <w:vAlign w:val="center"/>
          </w:tcPr>
          <w:p>
            <w:pPr>
              <w:jc w:val="center"/>
              <w:rPr>
                <w:rFonts w:eastAsia="仿宋"/>
              </w:rPr>
            </w:pPr>
            <w:r>
              <w:rPr>
                <w:rFonts w:eastAsia="仿宋"/>
              </w:rPr>
              <w:t>电话</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20" w:type="pct"/>
            <w:vMerge w:val="restart"/>
            <w:tcBorders>
              <w:tl2br w:val="nil"/>
              <w:tr2bl w:val="nil"/>
            </w:tcBorders>
            <w:vAlign w:val="center"/>
          </w:tcPr>
          <w:p>
            <w:pPr>
              <w:jc w:val="center"/>
              <w:rPr>
                <w:rFonts w:eastAsia="仿宋"/>
              </w:rPr>
            </w:pPr>
            <w:r>
              <w:rPr>
                <w:rFonts w:eastAsia="仿宋"/>
              </w:rPr>
              <w:t>1</w:t>
            </w:r>
          </w:p>
        </w:tc>
        <w:tc>
          <w:tcPr>
            <w:tcW w:w="792" w:type="pct"/>
            <w:vMerge w:val="restart"/>
            <w:tcBorders>
              <w:tl2br w:val="nil"/>
              <w:tr2bl w:val="nil"/>
            </w:tcBorders>
            <w:vAlign w:val="center"/>
          </w:tcPr>
          <w:p>
            <w:pPr>
              <w:jc w:val="center"/>
              <w:rPr>
                <w:rFonts w:eastAsia="仿宋"/>
              </w:rPr>
            </w:pPr>
            <w:r>
              <w:rPr>
                <w:rFonts w:eastAsia="仿宋"/>
              </w:rPr>
              <w:t>应急工作</w:t>
            </w:r>
          </w:p>
          <w:p>
            <w:pPr>
              <w:jc w:val="center"/>
              <w:rPr>
                <w:rFonts w:eastAsia="仿宋"/>
              </w:rPr>
            </w:pPr>
            <w:r>
              <w:rPr>
                <w:rFonts w:eastAsia="仿宋"/>
              </w:rPr>
              <w:t>领导小组</w:t>
            </w:r>
          </w:p>
        </w:tc>
        <w:tc>
          <w:tcPr>
            <w:tcW w:w="918" w:type="pct"/>
            <w:tcBorders>
              <w:tl2br w:val="nil"/>
              <w:tr2bl w:val="nil"/>
            </w:tcBorders>
            <w:vAlign w:val="center"/>
          </w:tcPr>
          <w:p>
            <w:pPr>
              <w:jc w:val="center"/>
              <w:rPr>
                <w:rFonts w:eastAsia="仿宋"/>
                <w:color w:val="FF0000"/>
              </w:rPr>
            </w:pPr>
            <w:r>
              <w:rPr>
                <w:rFonts w:eastAsia="仿宋"/>
              </w:rPr>
              <w:t>总指挥</w:t>
            </w:r>
          </w:p>
        </w:tc>
        <w:tc>
          <w:tcPr>
            <w:tcW w:w="866" w:type="pct"/>
            <w:tcBorders>
              <w:tl2br w:val="nil"/>
              <w:tr2bl w:val="nil"/>
            </w:tcBorders>
            <w:vAlign w:val="center"/>
          </w:tcPr>
          <w:p>
            <w:pPr>
              <w:jc w:val="center"/>
              <w:rPr>
                <w:rFonts w:eastAsia="仿宋"/>
                <w:color w:val="FF0000"/>
              </w:rPr>
            </w:pPr>
            <w:r>
              <w:rPr>
                <w:rFonts w:eastAsia="仿宋"/>
              </w:rPr>
              <w:t>厂长</w:t>
            </w:r>
          </w:p>
        </w:tc>
        <w:tc>
          <w:tcPr>
            <w:tcW w:w="843" w:type="pct"/>
            <w:tcBorders>
              <w:tl2br w:val="nil"/>
              <w:tr2bl w:val="nil"/>
            </w:tcBorders>
            <w:vAlign w:val="center"/>
          </w:tcPr>
          <w:p>
            <w:pPr>
              <w:jc w:val="center"/>
              <w:rPr>
                <w:rFonts w:eastAsia="仿宋"/>
                <w:color w:val="FF0000"/>
              </w:rPr>
            </w:pPr>
            <w:r>
              <w:rPr>
                <w:rFonts w:eastAsia="仿宋"/>
              </w:rPr>
              <w:t>霍建立</w:t>
            </w:r>
          </w:p>
        </w:tc>
        <w:tc>
          <w:tcPr>
            <w:tcW w:w="1159" w:type="pct"/>
            <w:tcBorders>
              <w:tl2br w:val="nil"/>
              <w:tr2bl w:val="nil"/>
            </w:tcBorders>
            <w:vAlign w:val="center"/>
          </w:tcPr>
          <w:p>
            <w:pPr>
              <w:jc w:val="center"/>
              <w:rPr>
                <w:rFonts w:eastAsia="仿宋"/>
              </w:rPr>
            </w:pPr>
            <w:r>
              <w:rPr>
                <w:rFonts w:eastAsia="仿宋"/>
              </w:rPr>
              <w:t>15592106983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420" w:type="pct"/>
            <w:vMerge w:val="continue"/>
            <w:tcBorders>
              <w:tl2br w:val="nil"/>
              <w:tr2bl w:val="nil"/>
            </w:tcBorders>
            <w:vAlign w:val="center"/>
          </w:tcPr>
          <w:p>
            <w:pPr>
              <w:jc w:val="center"/>
              <w:rPr>
                <w:rFonts w:eastAsia="仿宋"/>
              </w:rPr>
            </w:pPr>
          </w:p>
        </w:tc>
        <w:tc>
          <w:tcPr>
            <w:tcW w:w="792" w:type="pct"/>
            <w:vMerge w:val="continue"/>
            <w:tcBorders>
              <w:tl2br w:val="nil"/>
              <w:tr2bl w:val="nil"/>
            </w:tcBorders>
            <w:vAlign w:val="center"/>
          </w:tcPr>
          <w:p>
            <w:pPr>
              <w:jc w:val="center"/>
              <w:rPr>
                <w:rFonts w:eastAsia="仿宋"/>
              </w:rPr>
            </w:pPr>
          </w:p>
        </w:tc>
        <w:tc>
          <w:tcPr>
            <w:tcW w:w="918" w:type="pct"/>
            <w:tcBorders>
              <w:tl2br w:val="nil"/>
              <w:tr2bl w:val="nil"/>
            </w:tcBorders>
            <w:vAlign w:val="center"/>
          </w:tcPr>
          <w:p>
            <w:pPr>
              <w:jc w:val="center"/>
              <w:rPr>
                <w:rFonts w:eastAsia="仿宋"/>
                <w:color w:val="FF0000"/>
              </w:rPr>
            </w:pPr>
            <w:r>
              <w:rPr>
                <w:rFonts w:eastAsia="仿宋"/>
              </w:rPr>
              <w:t>副总指挥</w:t>
            </w:r>
          </w:p>
        </w:tc>
        <w:tc>
          <w:tcPr>
            <w:tcW w:w="866" w:type="pct"/>
            <w:tcBorders>
              <w:tl2br w:val="nil"/>
              <w:tr2bl w:val="nil"/>
            </w:tcBorders>
            <w:vAlign w:val="center"/>
          </w:tcPr>
          <w:p>
            <w:pPr>
              <w:jc w:val="center"/>
              <w:rPr>
                <w:rFonts w:eastAsia="仿宋"/>
                <w:color w:val="FF0000"/>
              </w:rPr>
            </w:pPr>
            <w:r>
              <w:rPr>
                <w:rFonts w:eastAsia="仿宋"/>
              </w:rPr>
              <w:t>生产主管</w:t>
            </w:r>
          </w:p>
        </w:tc>
        <w:tc>
          <w:tcPr>
            <w:tcW w:w="843" w:type="pct"/>
            <w:tcBorders>
              <w:tl2br w:val="nil"/>
              <w:tr2bl w:val="nil"/>
            </w:tcBorders>
            <w:vAlign w:val="center"/>
          </w:tcPr>
          <w:p>
            <w:pPr>
              <w:jc w:val="center"/>
              <w:rPr>
                <w:rFonts w:eastAsia="仿宋"/>
                <w:color w:val="FF0000"/>
              </w:rPr>
            </w:pPr>
            <w:r>
              <w:rPr>
                <w:rFonts w:eastAsia="仿宋"/>
              </w:rPr>
              <w:t>党智峰</w:t>
            </w:r>
          </w:p>
        </w:tc>
        <w:tc>
          <w:tcPr>
            <w:tcW w:w="1159" w:type="pct"/>
            <w:tcBorders>
              <w:tl2br w:val="nil"/>
              <w:tr2bl w:val="nil"/>
            </w:tcBorders>
            <w:vAlign w:val="center"/>
          </w:tcPr>
          <w:p>
            <w:pPr>
              <w:jc w:val="center"/>
              <w:rPr>
                <w:rFonts w:eastAsia="仿宋"/>
              </w:rPr>
            </w:pPr>
            <w:r>
              <w:rPr>
                <w:rFonts w:eastAsia="仿宋"/>
              </w:rPr>
              <w:t>13409106335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420" w:type="pct"/>
            <w:vMerge w:val="restart"/>
            <w:tcBorders>
              <w:tl2br w:val="nil"/>
              <w:tr2bl w:val="nil"/>
            </w:tcBorders>
            <w:vAlign w:val="center"/>
          </w:tcPr>
          <w:p>
            <w:pPr>
              <w:jc w:val="center"/>
              <w:rPr>
                <w:rFonts w:eastAsia="仿宋"/>
              </w:rPr>
            </w:pPr>
            <w:r>
              <w:rPr>
                <w:rFonts w:eastAsia="仿宋"/>
              </w:rPr>
              <w:t>2</w:t>
            </w:r>
          </w:p>
        </w:tc>
        <w:tc>
          <w:tcPr>
            <w:tcW w:w="792" w:type="pct"/>
            <w:tcBorders>
              <w:tl2br w:val="nil"/>
              <w:tr2bl w:val="nil"/>
            </w:tcBorders>
            <w:vAlign w:val="center"/>
          </w:tcPr>
          <w:p>
            <w:pPr>
              <w:jc w:val="center"/>
              <w:rPr>
                <w:rFonts w:eastAsia="仿宋"/>
              </w:rPr>
            </w:pPr>
            <w:r>
              <w:rPr>
                <w:rFonts w:eastAsia="仿宋"/>
              </w:rPr>
              <w:t>危险源</w:t>
            </w:r>
          </w:p>
          <w:p>
            <w:pPr>
              <w:jc w:val="center"/>
              <w:rPr>
                <w:rFonts w:eastAsia="仿宋"/>
              </w:rPr>
            </w:pPr>
            <w:r>
              <w:rPr>
                <w:rFonts w:eastAsia="仿宋"/>
              </w:rPr>
              <w:t>控制组</w:t>
            </w:r>
          </w:p>
        </w:tc>
        <w:tc>
          <w:tcPr>
            <w:tcW w:w="918" w:type="pct"/>
            <w:tcBorders>
              <w:tl2br w:val="nil"/>
              <w:tr2bl w:val="nil"/>
            </w:tcBorders>
            <w:vAlign w:val="center"/>
          </w:tcPr>
          <w:p>
            <w:pPr>
              <w:jc w:val="center"/>
              <w:rPr>
                <w:rFonts w:eastAsia="仿宋"/>
                <w:color w:val="FF0000"/>
              </w:rPr>
            </w:pPr>
            <w:r>
              <w:rPr>
                <w:rFonts w:eastAsia="仿宋"/>
              </w:rPr>
              <w:t>组长</w:t>
            </w:r>
          </w:p>
        </w:tc>
        <w:tc>
          <w:tcPr>
            <w:tcW w:w="866" w:type="pct"/>
            <w:tcBorders>
              <w:tl2br w:val="nil"/>
              <w:tr2bl w:val="nil"/>
            </w:tcBorders>
            <w:vAlign w:val="center"/>
          </w:tcPr>
          <w:p>
            <w:pPr>
              <w:jc w:val="center"/>
              <w:rPr>
                <w:rFonts w:eastAsia="仿宋"/>
                <w:color w:val="FF0000"/>
              </w:rPr>
            </w:pPr>
            <w:r>
              <w:rPr>
                <w:rFonts w:eastAsia="仿宋"/>
              </w:rPr>
              <w:t>生产主管</w:t>
            </w:r>
          </w:p>
        </w:tc>
        <w:tc>
          <w:tcPr>
            <w:tcW w:w="843" w:type="pct"/>
            <w:tcBorders>
              <w:tl2br w:val="nil"/>
              <w:tr2bl w:val="nil"/>
            </w:tcBorders>
            <w:vAlign w:val="center"/>
          </w:tcPr>
          <w:p>
            <w:pPr>
              <w:jc w:val="center"/>
              <w:rPr>
                <w:rFonts w:eastAsia="仿宋"/>
                <w:color w:val="FF0000"/>
              </w:rPr>
            </w:pPr>
            <w:r>
              <w:rPr>
                <w:rFonts w:eastAsia="仿宋"/>
              </w:rPr>
              <w:t>党智峰</w:t>
            </w:r>
          </w:p>
        </w:tc>
        <w:tc>
          <w:tcPr>
            <w:tcW w:w="1159" w:type="pct"/>
            <w:tcBorders>
              <w:tl2br w:val="nil"/>
              <w:tr2bl w:val="nil"/>
            </w:tcBorders>
            <w:vAlign w:val="center"/>
          </w:tcPr>
          <w:p>
            <w:pPr>
              <w:jc w:val="center"/>
              <w:rPr>
                <w:rFonts w:eastAsia="仿宋"/>
              </w:rPr>
            </w:pPr>
            <w:r>
              <w:rPr>
                <w:rFonts w:eastAsia="仿宋"/>
              </w:rPr>
              <w:t>13409106335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420" w:type="pct"/>
            <w:vMerge w:val="continue"/>
            <w:tcBorders>
              <w:tl2br w:val="nil"/>
              <w:tr2bl w:val="nil"/>
            </w:tcBorders>
            <w:vAlign w:val="center"/>
          </w:tcPr>
          <w:p>
            <w:pPr>
              <w:jc w:val="center"/>
              <w:rPr>
                <w:rFonts w:eastAsia="仿宋"/>
              </w:rPr>
            </w:pPr>
          </w:p>
        </w:tc>
        <w:tc>
          <w:tcPr>
            <w:tcW w:w="792" w:type="pct"/>
            <w:tcBorders>
              <w:tl2br w:val="nil"/>
              <w:tr2bl w:val="nil"/>
            </w:tcBorders>
            <w:vAlign w:val="center"/>
          </w:tcPr>
          <w:p>
            <w:pPr>
              <w:jc w:val="center"/>
              <w:rPr>
                <w:rFonts w:eastAsia="仿宋"/>
              </w:rPr>
            </w:pPr>
            <w:r>
              <w:rPr>
                <w:rFonts w:eastAsia="仿宋"/>
              </w:rPr>
              <w:t>人员救护组</w:t>
            </w:r>
          </w:p>
        </w:tc>
        <w:tc>
          <w:tcPr>
            <w:tcW w:w="918" w:type="pct"/>
            <w:tcBorders>
              <w:tl2br w:val="nil"/>
              <w:tr2bl w:val="nil"/>
            </w:tcBorders>
            <w:vAlign w:val="center"/>
          </w:tcPr>
          <w:p>
            <w:pPr>
              <w:jc w:val="center"/>
              <w:rPr>
                <w:rFonts w:eastAsia="仿宋"/>
                <w:color w:val="FF0000"/>
              </w:rPr>
            </w:pPr>
            <w:r>
              <w:rPr>
                <w:rFonts w:eastAsia="仿宋"/>
              </w:rPr>
              <w:t>组长</w:t>
            </w:r>
          </w:p>
        </w:tc>
        <w:tc>
          <w:tcPr>
            <w:tcW w:w="866" w:type="pct"/>
            <w:tcBorders>
              <w:tl2br w:val="nil"/>
              <w:tr2bl w:val="nil"/>
            </w:tcBorders>
            <w:vAlign w:val="center"/>
          </w:tcPr>
          <w:p>
            <w:pPr>
              <w:jc w:val="center"/>
              <w:rPr>
                <w:rFonts w:eastAsia="仿宋"/>
                <w:color w:val="FF0000"/>
              </w:rPr>
            </w:pPr>
            <w:r>
              <w:rPr>
                <w:rFonts w:eastAsia="仿宋"/>
              </w:rPr>
              <w:t>工段长</w:t>
            </w:r>
          </w:p>
        </w:tc>
        <w:tc>
          <w:tcPr>
            <w:tcW w:w="843" w:type="pct"/>
            <w:tcBorders>
              <w:tl2br w:val="nil"/>
              <w:tr2bl w:val="nil"/>
            </w:tcBorders>
            <w:vAlign w:val="center"/>
          </w:tcPr>
          <w:p>
            <w:pPr>
              <w:jc w:val="center"/>
              <w:rPr>
                <w:rFonts w:eastAsia="仿宋"/>
                <w:color w:val="FF0000"/>
              </w:rPr>
            </w:pPr>
            <w:r>
              <w:rPr>
                <w:rFonts w:eastAsia="仿宋"/>
              </w:rPr>
              <w:t>马峰</w:t>
            </w:r>
          </w:p>
        </w:tc>
        <w:tc>
          <w:tcPr>
            <w:tcW w:w="1159" w:type="pct"/>
            <w:tcBorders>
              <w:tl2br w:val="nil"/>
              <w:tr2bl w:val="nil"/>
            </w:tcBorders>
            <w:vAlign w:val="center"/>
          </w:tcPr>
          <w:p>
            <w:pPr>
              <w:jc w:val="center"/>
              <w:rPr>
                <w:rFonts w:eastAsia="仿宋"/>
              </w:rPr>
            </w:pPr>
            <w:r>
              <w:rPr>
                <w:rFonts w:eastAsia="仿宋"/>
              </w:rPr>
              <w:t>13310907792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420" w:type="pct"/>
            <w:tcBorders>
              <w:tl2br w:val="nil"/>
              <w:tr2bl w:val="nil"/>
            </w:tcBorders>
            <w:vAlign w:val="center"/>
          </w:tcPr>
          <w:p>
            <w:pPr>
              <w:jc w:val="center"/>
              <w:rPr>
                <w:rFonts w:eastAsia="仿宋"/>
              </w:rPr>
            </w:pPr>
            <w:r>
              <w:rPr>
                <w:rFonts w:eastAsia="仿宋"/>
              </w:rPr>
              <w:t>3</w:t>
            </w:r>
          </w:p>
        </w:tc>
        <w:tc>
          <w:tcPr>
            <w:tcW w:w="792" w:type="pct"/>
            <w:tcBorders>
              <w:tl2br w:val="nil"/>
              <w:tr2bl w:val="nil"/>
            </w:tcBorders>
            <w:vAlign w:val="center"/>
          </w:tcPr>
          <w:p>
            <w:pPr>
              <w:jc w:val="center"/>
              <w:rPr>
                <w:rFonts w:eastAsia="仿宋"/>
              </w:rPr>
            </w:pPr>
            <w:r>
              <w:rPr>
                <w:rFonts w:eastAsia="仿宋"/>
              </w:rPr>
              <w:t>消防救援组</w:t>
            </w:r>
          </w:p>
        </w:tc>
        <w:tc>
          <w:tcPr>
            <w:tcW w:w="918" w:type="pct"/>
            <w:tcBorders>
              <w:tl2br w:val="nil"/>
              <w:tr2bl w:val="nil"/>
            </w:tcBorders>
            <w:vAlign w:val="center"/>
          </w:tcPr>
          <w:p>
            <w:pPr>
              <w:jc w:val="center"/>
              <w:rPr>
                <w:rFonts w:eastAsia="仿宋"/>
                <w:color w:val="FF0000"/>
              </w:rPr>
            </w:pPr>
            <w:r>
              <w:rPr>
                <w:rFonts w:eastAsia="仿宋"/>
              </w:rPr>
              <w:t>组长</w:t>
            </w:r>
          </w:p>
        </w:tc>
        <w:tc>
          <w:tcPr>
            <w:tcW w:w="866" w:type="pct"/>
            <w:tcBorders>
              <w:tl2br w:val="nil"/>
              <w:tr2bl w:val="nil"/>
            </w:tcBorders>
            <w:vAlign w:val="center"/>
          </w:tcPr>
          <w:p>
            <w:pPr>
              <w:jc w:val="center"/>
              <w:rPr>
                <w:rFonts w:eastAsia="仿宋"/>
                <w:color w:val="FF0000"/>
              </w:rPr>
            </w:pPr>
            <w:r>
              <w:rPr>
                <w:rFonts w:eastAsia="仿宋"/>
              </w:rPr>
              <w:t>组长</w:t>
            </w:r>
          </w:p>
        </w:tc>
        <w:tc>
          <w:tcPr>
            <w:tcW w:w="843" w:type="pct"/>
            <w:tcBorders>
              <w:tl2br w:val="nil"/>
              <w:tr2bl w:val="nil"/>
            </w:tcBorders>
            <w:vAlign w:val="center"/>
          </w:tcPr>
          <w:p>
            <w:pPr>
              <w:jc w:val="center"/>
              <w:rPr>
                <w:rFonts w:eastAsia="仿宋"/>
                <w:color w:val="FF0000"/>
              </w:rPr>
            </w:pPr>
            <w:r>
              <w:rPr>
                <w:rFonts w:eastAsia="仿宋"/>
              </w:rPr>
              <w:t>王恩洪</w:t>
            </w:r>
          </w:p>
        </w:tc>
        <w:tc>
          <w:tcPr>
            <w:tcW w:w="1159" w:type="pct"/>
            <w:tcBorders>
              <w:tl2br w:val="nil"/>
              <w:tr2bl w:val="nil"/>
            </w:tcBorders>
            <w:vAlign w:val="center"/>
          </w:tcPr>
          <w:p>
            <w:pPr>
              <w:jc w:val="center"/>
              <w:rPr>
                <w:rFonts w:eastAsia="仿宋"/>
              </w:rPr>
            </w:pPr>
            <w:r>
              <w:rPr>
                <w:rFonts w:eastAsia="仿宋"/>
              </w:rPr>
              <w:t>15891659089</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420" w:type="pct"/>
            <w:tcBorders>
              <w:tl2br w:val="nil"/>
              <w:tr2bl w:val="nil"/>
            </w:tcBorders>
            <w:vAlign w:val="center"/>
          </w:tcPr>
          <w:p>
            <w:pPr>
              <w:jc w:val="center"/>
              <w:rPr>
                <w:rFonts w:eastAsia="仿宋"/>
              </w:rPr>
            </w:pPr>
            <w:r>
              <w:rPr>
                <w:rFonts w:eastAsia="仿宋"/>
              </w:rPr>
              <w:t>4</w:t>
            </w:r>
          </w:p>
        </w:tc>
        <w:tc>
          <w:tcPr>
            <w:tcW w:w="792" w:type="pct"/>
            <w:tcBorders>
              <w:tl2br w:val="nil"/>
              <w:tr2bl w:val="nil"/>
            </w:tcBorders>
            <w:vAlign w:val="center"/>
          </w:tcPr>
          <w:p>
            <w:pPr>
              <w:jc w:val="center"/>
              <w:rPr>
                <w:rFonts w:eastAsia="仿宋"/>
              </w:rPr>
            </w:pPr>
            <w:r>
              <w:rPr>
                <w:rFonts w:eastAsia="仿宋"/>
              </w:rPr>
              <w:t>警戒疏散组</w:t>
            </w:r>
          </w:p>
        </w:tc>
        <w:tc>
          <w:tcPr>
            <w:tcW w:w="918" w:type="pct"/>
            <w:tcBorders>
              <w:tl2br w:val="nil"/>
              <w:tr2bl w:val="nil"/>
            </w:tcBorders>
            <w:vAlign w:val="center"/>
          </w:tcPr>
          <w:p>
            <w:pPr>
              <w:jc w:val="center"/>
              <w:rPr>
                <w:rFonts w:eastAsia="仿宋"/>
                <w:color w:val="FF0000"/>
              </w:rPr>
            </w:pPr>
            <w:r>
              <w:rPr>
                <w:rFonts w:eastAsia="仿宋"/>
              </w:rPr>
              <w:t>组长</w:t>
            </w:r>
          </w:p>
        </w:tc>
        <w:tc>
          <w:tcPr>
            <w:tcW w:w="866" w:type="pct"/>
            <w:tcBorders>
              <w:tl2br w:val="nil"/>
              <w:tr2bl w:val="nil"/>
            </w:tcBorders>
            <w:vAlign w:val="center"/>
          </w:tcPr>
          <w:p>
            <w:pPr>
              <w:jc w:val="center"/>
              <w:rPr>
                <w:rFonts w:eastAsia="仿宋"/>
                <w:color w:val="FF0000"/>
              </w:rPr>
            </w:pPr>
            <w:r>
              <w:rPr>
                <w:rFonts w:eastAsia="仿宋"/>
              </w:rPr>
              <w:t>工段长</w:t>
            </w:r>
          </w:p>
        </w:tc>
        <w:tc>
          <w:tcPr>
            <w:tcW w:w="843" w:type="pct"/>
            <w:tcBorders>
              <w:tl2br w:val="nil"/>
              <w:tr2bl w:val="nil"/>
            </w:tcBorders>
            <w:vAlign w:val="center"/>
          </w:tcPr>
          <w:p>
            <w:pPr>
              <w:jc w:val="center"/>
              <w:rPr>
                <w:rFonts w:eastAsia="仿宋"/>
                <w:color w:val="FF0000"/>
              </w:rPr>
            </w:pPr>
            <w:r>
              <w:rPr>
                <w:rFonts w:eastAsia="仿宋"/>
              </w:rPr>
              <w:t>姜晓伟</w:t>
            </w:r>
          </w:p>
        </w:tc>
        <w:tc>
          <w:tcPr>
            <w:tcW w:w="1159" w:type="pct"/>
            <w:tcBorders>
              <w:tl2br w:val="nil"/>
              <w:tr2bl w:val="nil"/>
            </w:tcBorders>
            <w:vAlign w:val="center"/>
          </w:tcPr>
          <w:p>
            <w:pPr>
              <w:jc w:val="center"/>
              <w:rPr>
                <w:rFonts w:eastAsia="仿宋"/>
              </w:rPr>
            </w:pPr>
            <w:r>
              <w:rPr>
                <w:rFonts w:eastAsia="仿宋"/>
              </w:rPr>
              <w:t>15991016651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420" w:type="pct"/>
            <w:tcBorders>
              <w:tl2br w:val="nil"/>
              <w:tr2bl w:val="nil"/>
            </w:tcBorders>
            <w:vAlign w:val="center"/>
          </w:tcPr>
          <w:p>
            <w:pPr>
              <w:jc w:val="center"/>
              <w:rPr>
                <w:rFonts w:eastAsia="仿宋"/>
              </w:rPr>
            </w:pPr>
            <w:r>
              <w:rPr>
                <w:rFonts w:eastAsia="仿宋"/>
              </w:rPr>
              <w:t>5</w:t>
            </w:r>
          </w:p>
        </w:tc>
        <w:tc>
          <w:tcPr>
            <w:tcW w:w="792" w:type="pct"/>
            <w:vMerge w:val="restart"/>
            <w:tcBorders>
              <w:tl2br w:val="nil"/>
              <w:tr2bl w:val="nil"/>
            </w:tcBorders>
            <w:vAlign w:val="center"/>
          </w:tcPr>
          <w:p>
            <w:pPr>
              <w:jc w:val="center"/>
              <w:rPr>
                <w:rFonts w:eastAsia="仿宋"/>
              </w:rPr>
            </w:pPr>
            <w:r>
              <w:rPr>
                <w:rFonts w:eastAsia="仿宋"/>
              </w:rPr>
              <w:t>地方政府应急救援机构</w:t>
            </w:r>
          </w:p>
        </w:tc>
        <w:tc>
          <w:tcPr>
            <w:tcW w:w="918" w:type="pct"/>
            <w:tcBorders>
              <w:tl2br w:val="nil"/>
              <w:tr2bl w:val="nil"/>
            </w:tcBorders>
            <w:vAlign w:val="center"/>
          </w:tcPr>
          <w:p>
            <w:pPr>
              <w:jc w:val="center"/>
              <w:rPr>
                <w:rFonts w:eastAsia="仿宋"/>
              </w:rPr>
            </w:pPr>
            <w:r>
              <w:rPr>
                <w:rFonts w:eastAsia="仿宋"/>
              </w:rPr>
              <w:t>西咸新区环境保护局</w:t>
            </w:r>
          </w:p>
        </w:tc>
        <w:tc>
          <w:tcPr>
            <w:tcW w:w="2868" w:type="pct"/>
            <w:gridSpan w:val="3"/>
            <w:tcBorders>
              <w:tl2br w:val="nil"/>
              <w:tr2bl w:val="nil"/>
            </w:tcBorders>
            <w:vAlign w:val="center"/>
          </w:tcPr>
          <w:p>
            <w:pPr>
              <w:rPr>
                <w:rFonts w:eastAsia="仿宋"/>
              </w:rPr>
            </w:pPr>
            <w:r>
              <w:rPr>
                <w:rFonts w:eastAsia="仿宋"/>
              </w:rPr>
              <w:t>应急办电话：029-33186000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420" w:type="pct"/>
            <w:tcBorders>
              <w:tl2br w:val="nil"/>
              <w:tr2bl w:val="nil"/>
            </w:tcBorders>
            <w:vAlign w:val="center"/>
          </w:tcPr>
          <w:p>
            <w:pPr>
              <w:jc w:val="center"/>
              <w:rPr>
                <w:rFonts w:eastAsia="仿宋"/>
              </w:rPr>
            </w:pPr>
            <w:r>
              <w:rPr>
                <w:rFonts w:eastAsia="仿宋"/>
              </w:rPr>
              <w:t>6</w:t>
            </w:r>
          </w:p>
        </w:tc>
        <w:tc>
          <w:tcPr>
            <w:tcW w:w="792" w:type="pct"/>
            <w:vMerge w:val="continue"/>
            <w:tcBorders>
              <w:tl2br w:val="nil"/>
              <w:tr2bl w:val="nil"/>
            </w:tcBorders>
            <w:vAlign w:val="center"/>
          </w:tcPr>
          <w:p>
            <w:pPr>
              <w:jc w:val="center"/>
              <w:rPr>
                <w:rFonts w:eastAsia="仿宋"/>
              </w:rPr>
            </w:pPr>
          </w:p>
        </w:tc>
        <w:tc>
          <w:tcPr>
            <w:tcW w:w="918" w:type="pct"/>
            <w:tcBorders>
              <w:tl2br w:val="nil"/>
              <w:tr2bl w:val="nil"/>
            </w:tcBorders>
            <w:vAlign w:val="center"/>
          </w:tcPr>
          <w:p>
            <w:pPr>
              <w:jc w:val="center"/>
              <w:rPr>
                <w:rFonts w:eastAsia="仿宋"/>
              </w:rPr>
            </w:pPr>
            <w:r>
              <w:rPr>
                <w:rFonts w:eastAsia="仿宋"/>
              </w:rPr>
              <w:t>秦汉新城</w:t>
            </w:r>
          </w:p>
          <w:p>
            <w:pPr>
              <w:jc w:val="center"/>
              <w:rPr>
                <w:rFonts w:eastAsia="仿宋"/>
              </w:rPr>
            </w:pPr>
            <w:r>
              <w:rPr>
                <w:rFonts w:eastAsia="仿宋"/>
              </w:rPr>
              <w:t>应急办</w:t>
            </w:r>
          </w:p>
        </w:tc>
        <w:tc>
          <w:tcPr>
            <w:tcW w:w="2868" w:type="pct"/>
            <w:gridSpan w:val="3"/>
            <w:tcBorders>
              <w:tl2br w:val="nil"/>
              <w:tr2bl w:val="nil"/>
            </w:tcBorders>
            <w:vAlign w:val="center"/>
          </w:tcPr>
          <w:p>
            <w:pPr>
              <w:rPr>
                <w:rFonts w:eastAsia="仿宋"/>
              </w:rPr>
            </w:pPr>
            <w:r>
              <w:rPr>
                <w:rFonts w:eastAsia="仿宋"/>
              </w:rPr>
              <w:t>应急办电话：029-33185000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420" w:type="pct"/>
            <w:tcBorders>
              <w:tl2br w:val="nil"/>
              <w:tr2bl w:val="nil"/>
            </w:tcBorders>
            <w:vAlign w:val="center"/>
          </w:tcPr>
          <w:p>
            <w:pPr>
              <w:jc w:val="center"/>
              <w:rPr>
                <w:rFonts w:eastAsia="仿宋"/>
              </w:rPr>
            </w:pPr>
            <w:r>
              <w:rPr>
                <w:rFonts w:eastAsia="仿宋"/>
              </w:rPr>
              <w:t>7</w:t>
            </w:r>
          </w:p>
        </w:tc>
        <w:tc>
          <w:tcPr>
            <w:tcW w:w="792" w:type="pct"/>
            <w:vMerge w:val="continue"/>
            <w:tcBorders>
              <w:tl2br w:val="nil"/>
              <w:tr2bl w:val="nil"/>
            </w:tcBorders>
            <w:vAlign w:val="center"/>
          </w:tcPr>
          <w:p>
            <w:pPr>
              <w:jc w:val="center"/>
              <w:rPr>
                <w:rFonts w:eastAsia="仿宋"/>
              </w:rPr>
            </w:pPr>
          </w:p>
        </w:tc>
        <w:tc>
          <w:tcPr>
            <w:tcW w:w="918" w:type="pct"/>
            <w:tcBorders>
              <w:tl2br w:val="nil"/>
              <w:tr2bl w:val="nil"/>
            </w:tcBorders>
            <w:vAlign w:val="center"/>
          </w:tcPr>
          <w:p>
            <w:pPr>
              <w:jc w:val="center"/>
              <w:rPr>
                <w:rFonts w:eastAsia="仿宋"/>
              </w:rPr>
            </w:pPr>
            <w:r>
              <w:rPr>
                <w:rFonts w:eastAsia="仿宋"/>
              </w:rPr>
              <w:t>秦汉新城环保局</w:t>
            </w:r>
          </w:p>
        </w:tc>
        <w:tc>
          <w:tcPr>
            <w:tcW w:w="2868" w:type="pct"/>
            <w:gridSpan w:val="3"/>
            <w:tcBorders>
              <w:tl2br w:val="nil"/>
              <w:tr2bl w:val="nil"/>
            </w:tcBorders>
            <w:vAlign w:val="center"/>
          </w:tcPr>
          <w:p>
            <w:pPr>
              <w:rPr>
                <w:rFonts w:eastAsia="仿宋"/>
              </w:rPr>
            </w:pPr>
            <w:r>
              <w:rPr>
                <w:rFonts w:eastAsia="仿宋"/>
              </w:rPr>
              <w:t>值班电话：029-33185030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420" w:type="pct"/>
            <w:tcBorders>
              <w:tl2br w:val="nil"/>
              <w:tr2bl w:val="nil"/>
            </w:tcBorders>
            <w:vAlign w:val="center"/>
          </w:tcPr>
          <w:p>
            <w:pPr>
              <w:jc w:val="center"/>
              <w:rPr>
                <w:rFonts w:eastAsia="仿宋"/>
              </w:rPr>
            </w:pPr>
            <w:r>
              <w:rPr>
                <w:rFonts w:eastAsia="仿宋"/>
              </w:rPr>
              <w:t>8</w:t>
            </w:r>
          </w:p>
        </w:tc>
        <w:tc>
          <w:tcPr>
            <w:tcW w:w="792" w:type="pct"/>
            <w:vMerge w:val="continue"/>
            <w:tcBorders>
              <w:tl2br w:val="nil"/>
              <w:tr2bl w:val="nil"/>
            </w:tcBorders>
            <w:vAlign w:val="center"/>
          </w:tcPr>
          <w:p>
            <w:pPr>
              <w:jc w:val="center"/>
              <w:rPr>
                <w:rFonts w:eastAsia="仿宋"/>
              </w:rPr>
            </w:pPr>
          </w:p>
        </w:tc>
        <w:tc>
          <w:tcPr>
            <w:tcW w:w="918" w:type="pct"/>
            <w:tcBorders>
              <w:tl2br w:val="nil"/>
              <w:tr2bl w:val="nil"/>
            </w:tcBorders>
            <w:vAlign w:val="center"/>
          </w:tcPr>
          <w:p>
            <w:pPr>
              <w:jc w:val="center"/>
              <w:rPr>
                <w:rFonts w:eastAsia="仿宋"/>
              </w:rPr>
            </w:pPr>
            <w:r>
              <w:rPr>
                <w:rFonts w:eastAsia="仿宋"/>
              </w:rPr>
              <w:t>秦汉新城消防大队</w:t>
            </w:r>
          </w:p>
        </w:tc>
        <w:tc>
          <w:tcPr>
            <w:tcW w:w="2868" w:type="pct"/>
            <w:gridSpan w:val="3"/>
            <w:tcBorders>
              <w:tl2br w:val="nil"/>
              <w:tr2bl w:val="nil"/>
            </w:tcBorders>
            <w:vAlign w:val="center"/>
          </w:tcPr>
          <w:p>
            <w:pPr>
              <w:rPr>
                <w:rFonts w:eastAsia="仿宋"/>
              </w:rPr>
            </w:pPr>
            <w:r>
              <w:rPr>
                <w:rFonts w:eastAsia="仿宋"/>
              </w:rPr>
              <w:t>值班电话：029--33185703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420" w:type="pct"/>
            <w:vMerge w:val="restart"/>
            <w:tcBorders>
              <w:tl2br w:val="nil"/>
              <w:tr2bl w:val="nil"/>
            </w:tcBorders>
            <w:vAlign w:val="center"/>
          </w:tcPr>
          <w:p>
            <w:pPr>
              <w:jc w:val="center"/>
              <w:rPr>
                <w:rFonts w:eastAsia="仿宋"/>
              </w:rPr>
            </w:pPr>
            <w:r>
              <w:rPr>
                <w:rFonts w:eastAsia="仿宋"/>
              </w:rPr>
              <w:t>9</w:t>
            </w:r>
          </w:p>
        </w:tc>
        <w:tc>
          <w:tcPr>
            <w:tcW w:w="792" w:type="pct"/>
            <w:vMerge w:val="restart"/>
            <w:tcBorders>
              <w:tl2br w:val="nil"/>
              <w:tr2bl w:val="nil"/>
            </w:tcBorders>
            <w:vAlign w:val="center"/>
          </w:tcPr>
          <w:p>
            <w:pPr>
              <w:jc w:val="center"/>
              <w:rPr>
                <w:rFonts w:eastAsia="仿宋"/>
              </w:rPr>
            </w:pPr>
            <w:r>
              <w:rPr>
                <w:rFonts w:eastAsia="仿宋"/>
              </w:rPr>
              <w:t>常用</w:t>
            </w:r>
          </w:p>
          <w:p>
            <w:pPr>
              <w:jc w:val="center"/>
              <w:rPr>
                <w:rFonts w:eastAsia="仿宋"/>
              </w:rPr>
            </w:pPr>
            <w:r>
              <w:rPr>
                <w:rFonts w:eastAsia="仿宋"/>
              </w:rPr>
              <w:t>报警电话</w:t>
            </w:r>
          </w:p>
        </w:tc>
        <w:tc>
          <w:tcPr>
            <w:tcW w:w="918" w:type="pct"/>
            <w:tcBorders>
              <w:tl2br w:val="nil"/>
              <w:tr2bl w:val="nil"/>
            </w:tcBorders>
            <w:vAlign w:val="center"/>
          </w:tcPr>
          <w:p>
            <w:pPr>
              <w:jc w:val="center"/>
              <w:rPr>
                <w:rFonts w:eastAsia="仿宋"/>
              </w:rPr>
            </w:pPr>
            <w:r>
              <w:rPr>
                <w:rFonts w:eastAsia="仿宋"/>
              </w:rPr>
              <w:t>火警</w:t>
            </w:r>
          </w:p>
        </w:tc>
        <w:tc>
          <w:tcPr>
            <w:tcW w:w="2868" w:type="pct"/>
            <w:gridSpan w:val="3"/>
            <w:tcBorders>
              <w:tl2br w:val="nil"/>
              <w:tr2bl w:val="nil"/>
            </w:tcBorders>
            <w:vAlign w:val="center"/>
          </w:tcPr>
          <w:p>
            <w:pPr>
              <w:jc w:val="center"/>
              <w:rPr>
                <w:rFonts w:eastAsia="仿宋"/>
              </w:rPr>
            </w:pPr>
            <w:r>
              <w:rPr>
                <w:rFonts w:eastAsia="仿宋"/>
              </w:rPr>
              <w:t>119</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420" w:type="pct"/>
            <w:vMerge w:val="continue"/>
            <w:tcBorders>
              <w:tl2br w:val="nil"/>
              <w:tr2bl w:val="nil"/>
            </w:tcBorders>
            <w:vAlign w:val="center"/>
          </w:tcPr>
          <w:p>
            <w:pPr>
              <w:jc w:val="center"/>
              <w:rPr>
                <w:rFonts w:eastAsia="仿宋"/>
              </w:rPr>
            </w:pPr>
          </w:p>
        </w:tc>
        <w:tc>
          <w:tcPr>
            <w:tcW w:w="792" w:type="pct"/>
            <w:vMerge w:val="continue"/>
            <w:tcBorders>
              <w:tl2br w:val="nil"/>
              <w:tr2bl w:val="nil"/>
            </w:tcBorders>
            <w:vAlign w:val="center"/>
          </w:tcPr>
          <w:p>
            <w:pPr>
              <w:jc w:val="center"/>
              <w:rPr>
                <w:rFonts w:eastAsia="仿宋"/>
              </w:rPr>
            </w:pPr>
          </w:p>
        </w:tc>
        <w:tc>
          <w:tcPr>
            <w:tcW w:w="918" w:type="pct"/>
            <w:tcBorders>
              <w:tl2br w:val="nil"/>
              <w:tr2bl w:val="nil"/>
            </w:tcBorders>
            <w:vAlign w:val="center"/>
          </w:tcPr>
          <w:p>
            <w:pPr>
              <w:jc w:val="center"/>
              <w:rPr>
                <w:rFonts w:eastAsia="仿宋"/>
              </w:rPr>
            </w:pPr>
            <w:r>
              <w:rPr>
                <w:rFonts w:eastAsia="仿宋"/>
              </w:rPr>
              <w:t>急救</w:t>
            </w:r>
          </w:p>
        </w:tc>
        <w:tc>
          <w:tcPr>
            <w:tcW w:w="2868" w:type="pct"/>
            <w:gridSpan w:val="3"/>
            <w:tcBorders>
              <w:tl2br w:val="nil"/>
              <w:tr2bl w:val="nil"/>
            </w:tcBorders>
            <w:vAlign w:val="center"/>
          </w:tcPr>
          <w:p>
            <w:pPr>
              <w:jc w:val="center"/>
              <w:rPr>
                <w:rFonts w:eastAsia="仿宋"/>
              </w:rPr>
            </w:pPr>
            <w:r>
              <w:rPr>
                <w:rFonts w:eastAsia="仿宋"/>
              </w:rPr>
              <w:t>120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420" w:type="pct"/>
            <w:vMerge w:val="continue"/>
            <w:tcBorders>
              <w:tl2br w:val="nil"/>
              <w:tr2bl w:val="nil"/>
            </w:tcBorders>
            <w:vAlign w:val="center"/>
          </w:tcPr>
          <w:p>
            <w:pPr>
              <w:jc w:val="center"/>
              <w:rPr>
                <w:rFonts w:eastAsia="仿宋"/>
              </w:rPr>
            </w:pPr>
          </w:p>
        </w:tc>
        <w:tc>
          <w:tcPr>
            <w:tcW w:w="792" w:type="pct"/>
            <w:vMerge w:val="continue"/>
            <w:tcBorders>
              <w:tl2br w:val="nil"/>
              <w:tr2bl w:val="nil"/>
            </w:tcBorders>
            <w:vAlign w:val="center"/>
          </w:tcPr>
          <w:p>
            <w:pPr>
              <w:jc w:val="center"/>
              <w:rPr>
                <w:rFonts w:eastAsia="仿宋"/>
              </w:rPr>
            </w:pPr>
          </w:p>
        </w:tc>
        <w:tc>
          <w:tcPr>
            <w:tcW w:w="918" w:type="pct"/>
            <w:tcBorders>
              <w:tl2br w:val="nil"/>
              <w:tr2bl w:val="nil"/>
            </w:tcBorders>
            <w:vAlign w:val="center"/>
          </w:tcPr>
          <w:p>
            <w:pPr>
              <w:jc w:val="center"/>
              <w:rPr>
                <w:rFonts w:eastAsia="仿宋"/>
              </w:rPr>
            </w:pPr>
            <w:r>
              <w:rPr>
                <w:rFonts w:eastAsia="仿宋"/>
              </w:rPr>
              <w:t>交通事故</w:t>
            </w:r>
          </w:p>
        </w:tc>
        <w:tc>
          <w:tcPr>
            <w:tcW w:w="2868" w:type="pct"/>
            <w:gridSpan w:val="3"/>
            <w:tcBorders>
              <w:tl2br w:val="nil"/>
              <w:tr2bl w:val="nil"/>
            </w:tcBorders>
            <w:vAlign w:val="center"/>
          </w:tcPr>
          <w:p>
            <w:pPr>
              <w:jc w:val="center"/>
              <w:rPr>
                <w:rFonts w:eastAsia="仿宋"/>
              </w:rPr>
            </w:pPr>
            <w:r>
              <w:rPr>
                <w:rFonts w:eastAsia="仿宋"/>
              </w:rPr>
              <w:t>122</w:t>
            </w:r>
          </w:p>
        </w:tc>
      </w:tr>
    </w:tbl>
    <w:p>
      <w:pPr>
        <w:pStyle w:val="2"/>
        <w:numPr>
          <w:ilvl w:val="0"/>
          <w:numId w:val="1"/>
        </w:numPr>
        <w:spacing w:line="360" w:lineRule="auto"/>
        <w:ind w:left="0" w:firstLine="0"/>
        <w:rPr>
          <w:b/>
          <w:sz w:val="28"/>
          <w:szCs w:val="28"/>
        </w:rPr>
      </w:pPr>
      <w:r>
        <w:rPr>
          <w:rFonts w:hint="eastAsia"/>
          <w:b/>
          <w:sz w:val="28"/>
          <w:szCs w:val="28"/>
        </w:rPr>
        <w:t>环境应急设施装备调查</w:t>
      </w:r>
    </w:p>
    <w:p>
      <w:pPr>
        <w:spacing w:line="360" w:lineRule="auto"/>
        <w:ind w:firstLine="560" w:firstLineChars="200"/>
        <w:jc w:val="both"/>
        <w:rPr>
          <w:rFonts w:ascii="仿宋" w:hAnsi="仿宋" w:eastAsia="仿宋"/>
          <w:sz w:val="28"/>
          <w:szCs w:val="28"/>
        </w:rPr>
      </w:pPr>
      <w:r>
        <w:rPr>
          <w:rFonts w:hint="eastAsia" w:ascii="仿宋" w:hAnsi="仿宋" w:eastAsia="仿宋"/>
          <w:sz w:val="28"/>
          <w:szCs w:val="28"/>
        </w:rPr>
        <w:t>应急装备是突发环境事件应急救援的重要保障，也是保证应急队伍有效开展工作的基础。我国应急管理工作已从初期强调编制应急预案，逐步注重做好应急资源配置、早期预警能力建设等方面应急准备工作。本次调查不仅包括企业内部应急资源调查，还包括外部应急资源调查，摸清周边可依托的应急资源储备情况，有利于构建应急装备动态数据库，建立区域突发环境事件应急装备紧急调度机制，做到应急装备资源共享，使有限的资源在应急处置中能够充分发挥作用。</w:t>
      </w:r>
    </w:p>
    <w:p>
      <w:pPr>
        <w:pStyle w:val="3"/>
        <w:spacing w:before="0" w:after="0" w:line="360" w:lineRule="auto"/>
        <w:ind w:left="6" w:hanging="6" w:hangingChars="2"/>
        <w:rPr>
          <w:rFonts w:ascii="仿宋" w:hAnsi="仿宋" w:eastAsia="仿宋"/>
          <w:sz w:val="28"/>
          <w:szCs w:val="28"/>
        </w:rPr>
      </w:pPr>
      <w:r>
        <w:rPr>
          <w:rFonts w:ascii="仿宋" w:hAnsi="仿宋" w:eastAsia="仿宋"/>
          <w:sz w:val="28"/>
          <w:szCs w:val="28"/>
        </w:rPr>
        <w:t xml:space="preserve">4.1 </w:t>
      </w:r>
      <w:r>
        <w:rPr>
          <w:rFonts w:hint="eastAsia" w:ascii="仿宋" w:hAnsi="仿宋" w:eastAsia="仿宋"/>
          <w:sz w:val="28"/>
          <w:szCs w:val="28"/>
        </w:rPr>
        <w:t>内部应急设施及装备</w:t>
      </w:r>
    </w:p>
    <w:p>
      <w:pPr>
        <w:overflowPunct w:val="0"/>
        <w:spacing w:line="413" w:lineRule="auto"/>
        <w:ind w:firstLine="560"/>
        <w:jc w:val="both"/>
        <w:rPr>
          <w:rFonts w:eastAsia="仿宋_GB2312"/>
          <w:sz w:val="28"/>
          <w:szCs w:val="28"/>
          <w:lang w:val="zh-CN"/>
        </w:rPr>
      </w:pPr>
      <w:r>
        <w:rPr>
          <w:rFonts w:hint="eastAsia" w:eastAsia="仿宋_GB2312"/>
          <w:sz w:val="28"/>
          <w:szCs w:val="28"/>
          <w:lang w:val="zh-CN"/>
        </w:rPr>
        <w:t>企业内部应急装备调查，可查明企业自身应急处置设备及个人防护设备方面存在不足，</w:t>
      </w:r>
      <w:r>
        <w:rPr>
          <w:rFonts w:hint="eastAsia" w:eastAsia="仿宋_GB2312"/>
          <w:sz w:val="28"/>
          <w:szCs w:val="28"/>
          <w:lang w:val="en-US" w:eastAsia="zh-CN"/>
        </w:rPr>
        <w:t>现已配置干粉灭火器5个，再无其他环境应急物质，</w:t>
      </w:r>
      <w:r>
        <w:rPr>
          <w:rFonts w:hint="eastAsia" w:eastAsia="仿宋_GB2312"/>
          <w:sz w:val="28"/>
          <w:szCs w:val="28"/>
          <w:lang w:val="zh-CN"/>
        </w:rPr>
        <w:t>在后续工作中进行优先配置，确实做到“有备无患”，企业拟增加的应急物资及装备见下表</w:t>
      </w:r>
      <w:r>
        <w:rPr>
          <w:rFonts w:eastAsia="仿宋_GB2312"/>
          <w:sz w:val="28"/>
          <w:szCs w:val="28"/>
          <w:lang w:val="zh-CN"/>
        </w:rPr>
        <w:t>4-1</w:t>
      </w:r>
      <w:r>
        <w:rPr>
          <w:rFonts w:hint="eastAsia" w:eastAsia="仿宋_GB2312"/>
          <w:sz w:val="28"/>
          <w:szCs w:val="28"/>
          <w:lang w:val="zh-CN"/>
        </w:rPr>
        <w:t>。</w:t>
      </w:r>
    </w:p>
    <w:p>
      <w:pPr>
        <w:jc w:val="center"/>
        <w:rPr>
          <w:rFonts w:eastAsia="仿宋"/>
          <w:b/>
          <w:bCs/>
          <w:sz w:val="28"/>
          <w:szCs w:val="28"/>
        </w:rPr>
      </w:pPr>
      <w:r>
        <w:rPr>
          <w:rFonts w:eastAsia="仿宋"/>
          <w:b/>
          <w:bCs/>
          <w:sz w:val="28"/>
          <w:szCs w:val="28"/>
        </w:rPr>
        <w:t>表</w:t>
      </w:r>
      <w:r>
        <w:rPr>
          <w:rFonts w:hint="eastAsia" w:eastAsia="仿宋"/>
          <w:b/>
          <w:bCs/>
          <w:sz w:val="28"/>
          <w:szCs w:val="28"/>
        </w:rPr>
        <w:t>4</w:t>
      </w:r>
      <w:r>
        <w:rPr>
          <w:rFonts w:eastAsia="仿宋"/>
          <w:b/>
          <w:bCs/>
          <w:sz w:val="28"/>
          <w:szCs w:val="28"/>
        </w:rPr>
        <w:t xml:space="preserve">-1  </w:t>
      </w:r>
      <w:r>
        <w:rPr>
          <w:rFonts w:hint="eastAsia" w:eastAsia="仿宋"/>
          <w:b/>
          <w:bCs/>
          <w:sz w:val="28"/>
          <w:szCs w:val="28"/>
          <w:lang w:val="en-US" w:eastAsia="zh-CN"/>
        </w:rPr>
        <w:t xml:space="preserve"> </w:t>
      </w:r>
      <w:r>
        <w:rPr>
          <w:rFonts w:eastAsia="仿宋"/>
          <w:b/>
          <w:bCs/>
          <w:sz w:val="28"/>
          <w:szCs w:val="28"/>
        </w:rPr>
        <w:t>环境应急资源信息</w:t>
      </w:r>
    </w:p>
    <w:tbl>
      <w:tblPr>
        <w:tblStyle w:val="12"/>
        <w:tblW w:w="5098" w:type="pct"/>
        <w:jc w:val="center"/>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Layout w:type="autofit"/>
        <w:tblCellMar>
          <w:top w:w="0" w:type="dxa"/>
          <w:left w:w="0" w:type="dxa"/>
          <w:bottom w:w="0" w:type="dxa"/>
          <w:right w:w="0" w:type="dxa"/>
        </w:tblCellMar>
      </w:tblPr>
      <w:tblGrid>
        <w:gridCol w:w="1154"/>
        <w:gridCol w:w="1873"/>
        <w:gridCol w:w="1491"/>
        <w:gridCol w:w="2085"/>
        <w:gridCol w:w="1866"/>
      </w:tblGrid>
      <w:tr>
        <w:tblPrEx>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67" w:hRule="exact"/>
          <w:jc w:val="center"/>
        </w:trPr>
        <w:tc>
          <w:tcPr>
            <w:tcW w:w="681" w:type="pct"/>
            <w:tcBorders>
              <w:tl2br w:val="nil"/>
              <w:tr2bl w:val="nil"/>
            </w:tcBorders>
            <w:vAlign w:val="center"/>
          </w:tcPr>
          <w:p>
            <w:pPr>
              <w:ind w:left="335" w:right="313"/>
              <w:jc w:val="center"/>
              <w:rPr>
                <w:rFonts w:eastAsia="仿宋"/>
              </w:rPr>
            </w:pPr>
            <w:r>
              <w:rPr>
                <w:rFonts w:eastAsia="仿宋"/>
              </w:rPr>
              <w:t>序号</w:t>
            </w:r>
          </w:p>
        </w:tc>
        <w:tc>
          <w:tcPr>
            <w:tcW w:w="1105" w:type="pct"/>
            <w:tcBorders>
              <w:tl2br w:val="nil"/>
              <w:tr2bl w:val="nil"/>
            </w:tcBorders>
            <w:vAlign w:val="center"/>
          </w:tcPr>
          <w:p>
            <w:pPr>
              <w:ind w:left="335" w:right="313"/>
              <w:jc w:val="center"/>
              <w:rPr>
                <w:rFonts w:eastAsia="仿宋"/>
              </w:rPr>
            </w:pPr>
            <w:r>
              <w:rPr>
                <w:rFonts w:eastAsia="仿宋"/>
              </w:rPr>
              <w:t>名称</w:t>
            </w:r>
          </w:p>
        </w:tc>
        <w:tc>
          <w:tcPr>
            <w:tcW w:w="880" w:type="pct"/>
            <w:tcBorders>
              <w:tl2br w:val="nil"/>
              <w:tr2bl w:val="nil"/>
            </w:tcBorders>
            <w:vAlign w:val="center"/>
          </w:tcPr>
          <w:p>
            <w:pPr>
              <w:ind w:left="335" w:right="313"/>
              <w:jc w:val="center"/>
              <w:rPr>
                <w:rFonts w:eastAsia="仿宋"/>
              </w:rPr>
            </w:pPr>
            <w:r>
              <w:rPr>
                <w:rFonts w:eastAsia="仿宋"/>
              </w:rPr>
              <w:t>储备量</w:t>
            </w:r>
          </w:p>
        </w:tc>
        <w:tc>
          <w:tcPr>
            <w:tcW w:w="1230" w:type="pct"/>
            <w:tcBorders>
              <w:tl2br w:val="nil"/>
              <w:tr2bl w:val="nil"/>
            </w:tcBorders>
            <w:vAlign w:val="center"/>
          </w:tcPr>
          <w:p>
            <w:pPr>
              <w:ind w:left="335" w:right="313"/>
              <w:jc w:val="center"/>
              <w:rPr>
                <w:rFonts w:eastAsia="仿宋"/>
              </w:rPr>
            </w:pPr>
            <w:r>
              <w:rPr>
                <w:rFonts w:eastAsia="仿宋"/>
              </w:rPr>
              <w:t>功能</w:t>
            </w:r>
          </w:p>
        </w:tc>
        <w:tc>
          <w:tcPr>
            <w:tcW w:w="1101" w:type="pct"/>
            <w:tcBorders>
              <w:tl2br w:val="nil"/>
              <w:tr2bl w:val="nil"/>
            </w:tcBorders>
            <w:vAlign w:val="center"/>
          </w:tcPr>
          <w:p>
            <w:pPr>
              <w:ind w:right="-20"/>
              <w:jc w:val="center"/>
              <w:rPr>
                <w:rFonts w:eastAsia="仿宋"/>
              </w:rPr>
            </w:pPr>
            <w:r>
              <w:rPr>
                <w:rFonts w:eastAsia="仿宋"/>
              </w:rPr>
              <w:t>备注</w:t>
            </w:r>
          </w:p>
        </w:tc>
      </w:tr>
      <w:tr>
        <w:tblPrEx>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PrEx>
        <w:trPr>
          <w:trHeight w:val="367" w:hRule="exact"/>
          <w:jc w:val="center"/>
        </w:trPr>
        <w:tc>
          <w:tcPr>
            <w:tcW w:w="681" w:type="pct"/>
            <w:tcBorders>
              <w:tl2br w:val="nil"/>
              <w:tr2bl w:val="nil"/>
            </w:tcBorders>
            <w:vAlign w:val="center"/>
          </w:tcPr>
          <w:p>
            <w:pPr>
              <w:ind w:left="335" w:right="313"/>
              <w:jc w:val="center"/>
              <w:rPr>
                <w:rFonts w:eastAsia="仿宋"/>
              </w:rPr>
            </w:pPr>
            <w:r>
              <w:rPr>
                <w:rFonts w:eastAsia="仿宋"/>
              </w:rPr>
              <w:t>1</w:t>
            </w:r>
          </w:p>
        </w:tc>
        <w:tc>
          <w:tcPr>
            <w:tcW w:w="1105" w:type="pct"/>
            <w:tcBorders>
              <w:tl2br w:val="nil"/>
              <w:tr2bl w:val="nil"/>
            </w:tcBorders>
            <w:vAlign w:val="center"/>
          </w:tcPr>
          <w:p>
            <w:pPr>
              <w:ind w:left="335" w:right="313"/>
              <w:jc w:val="center"/>
              <w:rPr>
                <w:rFonts w:eastAsia="仿宋"/>
              </w:rPr>
            </w:pPr>
            <w:r>
              <w:rPr>
                <w:rFonts w:eastAsia="仿宋"/>
              </w:rPr>
              <w:t>消防沙袋</w:t>
            </w:r>
          </w:p>
        </w:tc>
        <w:tc>
          <w:tcPr>
            <w:tcW w:w="880" w:type="pct"/>
            <w:tcBorders>
              <w:tl2br w:val="nil"/>
              <w:tr2bl w:val="nil"/>
            </w:tcBorders>
            <w:vAlign w:val="center"/>
          </w:tcPr>
          <w:p>
            <w:pPr>
              <w:ind w:left="335" w:right="313"/>
              <w:jc w:val="center"/>
              <w:rPr>
                <w:rFonts w:eastAsia="仿宋"/>
              </w:rPr>
            </w:pPr>
            <w:r>
              <w:rPr>
                <w:rFonts w:eastAsia="仿宋"/>
              </w:rPr>
              <w:t>2个</w:t>
            </w:r>
          </w:p>
        </w:tc>
        <w:tc>
          <w:tcPr>
            <w:tcW w:w="1230" w:type="pct"/>
            <w:tcBorders>
              <w:tl2br w:val="nil"/>
              <w:tr2bl w:val="nil"/>
            </w:tcBorders>
            <w:vAlign w:val="center"/>
          </w:tcPr>
          <w:p>
            <w:pPr>
              <w:ind w:left="335" w:right="313"/>
              <w:jc w:val="center"/>
              <w:rPr>
                <w:rFonts w:eastAsia="仿宋"/>
              </w:rPr>
            </w:pPr>
            <w:r>
              <w:rPr>
                <w:rFonts w:eastAsia="仿宋"/>
              </w:rPr>
              <w:t>灭火、围堵</w:t>
            </w:r>
          </w:p>
        </w:tc>
        <w:tc>
          <w:tcPr>
            <w:tcW w:w="1101" w:type="pct"/>
            <w:tcBorders>
              <w:tl2br w:val="nil"/>
              <w:tr2bl w:val="nil"/>
            </w:tcBorders>
            <w:vAlign w:val="center"/>
          </w:tcPr>
          <w:p>
            <w:pPr>
              <w:ind w:right="-20"/>
              <w:jc w:val="center"/>
              <w:rPr>
                <w:rFonts w:eastAsia="仿宋"/>
              </w:rPr>
            </w:pPr>
            <w:r>
              <w:rPr>
                <w:rFonts w:eastAsia="仿宋"/>
              </w:rPr>
              <w:t>拟补充</w:t>
            </w:r>
          </w:p>
        </w:tc>
      </w:tr>
      <w:tr>
        <w:tblPrEx>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PrEx>
        <w:trPr>
          <w:trHeight w:val="367" w:hRule="exact"/>
          <w:jc w:val="center"/>
        </w:trPr>
        <w:tc>
          <w:tcPr>
            <w:tcW w:w="681" w:type="pct"/>
            <w:tcBorders>
              <w:tl2br w:val="nil"/>
              <w:tr2bl w:val="nil"/>
            </w:tcBorders>
            <w:vAlign w:val="center"/>
          </w:tcPr>
          <w:p>
            <w:pPr>
              <w:ind w:left="335" w:right="313"/>
              <w:jc w:val="center"/>
              <w:rPr>
                <w:rFonts w:eastAsia="仿宋"/>
              </w:rPr>
            </w:pPr>
            <w:r>
              <w:rPr>
                <w:rFonts w:eastAsia="仿宋"/>
              </w:rPr>
              <w:t>2</w:t>
            </w:r>
          </w:p>
        </w:tc>
        <w:tc>
          <w:tcPr>
            <w:tcW w:w="1105" w:type="pct"/>
            <w:tcBorders>
              <w:tl2br w:val="nil"/>
              <w:tr2bl w:val="nil"/>
            </w:tcBorders>
            <w:vAlign w:val="center"/>
          </w:tcPr>
          <w:p>
            <w:pPr>
              <w:ind w:left="335" w:right="313"/>
              <w:jc w:val="center"/>
              <w:rPr>
                <w:rFonts w:eastAsia="仿宋"/>
              </w:rPr>
            </w:pPr>
            <w:r>
              <w:rPr>
                <w:rFonts w:eastAsia="仿宋"/>
              </w:rPr>
              <w:t>消防铁锹</w:t>
            </w:r>
          </w:p>
        </w:tc>
        <w:tc>
          <w:tcPr>
            <w:tcW w:w="880" w:type="pct"/>
            <w:tcBorders>
              <w:tl2br w:val="nil"/>
              <w:tr2bl w:val="nil"/>
            </w:tcBorders>
            <w:vAlign w:val="center"/>
          </w:tcPr>
          <w:p>
            <w:pPr>
              <w:ind w:left="335" w:right="313"/>
              <w:jc w:val="center"/>
              <w:rPr>
                <w:rFonts w:eastAsia="仿宋"/>
              </w:rPr>
            </w:pPr>
            <w:r>
              <w:rPr>
                <w:rFonts w:eastAsia="仿宋"/>
              </w:rPr>
              <w:t>2把</w:t>
            </w:r>
          </w:p>
        </w:tc>
        <w:tc>
          <w:tcPr>
            <w:tcW w:w="1230" w:type="pct"/>
            <w:tcBorders>
              <w:tl2br w:val="nil"/>
              <w:tr2bl w:val="nil"/>
            </w:tcBorders>
            <w:vAlign w:val="center"/>
          </w:tcPr>
          <w:p>
            <w:pPr>
              <w:ind w:left="335" w:right="313"/>
              <w:jc w:val="center"/>
              <w:rPr>
                <w:rFonts w:eastAsia="仿宋"/>
              </w:rPr>
            </w:pPr>
            <w:r>
              <w:rPr>
                <w:rFonts w:eastAsia="仿宋"/>
              </w:rPr>
              <w:t>灭火</w:t>
            </w:r>
          </w:p>
        </w:tc>
        <w:tc>
          <w:tcPr>
            <w:tcW w:w="1101" w:type="pct"/>
            <w:tcBorders>
              <w:tl2br w:val="nil"/>
              <w:tr2bl w:val="nil"/>
            </w:tcBorders>
            <w:vAlign w:val="center"/>
          </w:tcPr>
          <w:p>
            <w:pPr>
              <w:ind w:right="-20"/>
              <w:jc w:val="center"/>
              <w:rPr>
                <w:rFonts w:eastAsia="仿宋"/>
              </w:rPr>
            </w:pPr>
            <w:r>
              <w:rPr>
                <w:rFonts w:eastAsia="仿宋"/>
              </w:rPr>
              <w:t>拟补充</w:t>
            </w:r>
          </w:p>
        </w:tc>
      </w:tr>
      <w:tr>
        <w:tblPrEx>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PrEx>
        <w:trPr>
          <w:trHeight w:val="367" w:hRule="exact"/>
          <w:jc w:val="center"/>
        </w:trPr>
        <w:tc>
          <w:tcPr>
            <w:tcW w:w="681" w:type="pct"/>
            <w:tcBorders>
              <w:tl2br w:val="nil"/>
              <w:tr2bl w:val="nil"/>
            </w:tcBorders>
            <w:vAlign w:val="center"/>
          </w:tcPr>
          <w:p>
            <w:pPr>
              <w:ind w:left="335" w:right="313"/>
              <w:jc w:val="center"/>
              <w:rPr>
                <w:rFonts w:eastAsia="仿宋"/>
              </w:rPr>
            </w:pPr>
            <w:r>
              <w:rPr>
                <w:rFonts w:eastAsia="仿宋"/>
              </w:rPr>
              <w:t>3</w:t>
            </w:r>
          </w:p>
        </w:tc>
        <w:tc>
          <w:tcPr>
            <w:tcW w:w="1105" w:type="pct"/>
            <w:tcBorders>
              <w:tl2br w:val="nil"/>
              <w:tr2bl w:val="nil"/>
            </w:tcBorders>
            <w:vAlign w:val="center"/>
          </w:tcPr>
          <w:p>
            <w:pPr>
              <w:ind w:left="335" w:right="313"/>
              <w:jc w:val="center"/>
              <w:rPr>
                <w:rFonts w:eastAsia="仿宋"/>
              </w:rPr>
            </w:pPr>
            <w:r>
              <w:rPr>
                <w:rFonts w:eastAsia="仿宋"/>
              </w:rPr>
              <w:t>消防柜</w:t>
            </w:r>
          </w:p>
        </w:tc>
        <w:tc>
          <w:tcPr>
            <w:tcW w:w="880" w:type="pct"/>
            <w:tcBorders>
              <w:tl2br w:val="nil"/>
              <w:tr2bl w:val="nil"/>
            </w:tcBorders>
            <w:vAlign w:val="center"/>
          </w:tcPr>
          <w:p>
            <w:pPr>
              <w:ind w:left="335" w:right="313"/>
              <w:jc w:val="center"/>
              <w:rPr>
                <w:rFonts w:eastAsia="仿宋"/>
              </w:rPr>
            </w:pPr>
            <w:r>
              <w:rPr>
                <w:rFonts w:eastAsia="仿宋"/>
              </w:rPr>
              <w:t>1套</w:t>
            </w:r>
          </w:p>
        </w:tc>
        <w:tc>
          <w:tcPr>
            <w:tcW w:w="1230" w:type="pct"/>
            <w:tcBorders>
              <w:tl2br w:val="nil"/>
              <w:tr2bl w:val="nil"/>
            </w:tcBorders>
            <w:vAlign w:val="center"/>
          </w:tcPr>
          <w:p>
            <w:pPr>
              <w:ind w:left="335" w:right="313"/>
              <w:jc w:val="center"/>
              <w:rPr>
                <w:rFonts w:eastAsia="仿宋"/>
              </w:rPr>
            </w:pPr>
            <w:r>
              <w:rPr>
                <w:rFonts w:eastAsia="仿宋"/>
              </w:rPr>
              <w:t>灭火</w:t>
            </w:r>
          </w:p>
        </w:tc>
        <w:tc>
          <w:tcPr>
            <w:tcW w:w="1101" w:type="pct"/>
            <w:tcBorders>
              <w:tl2br w:val="nil"/>
              <w:tr2bl w:val="nil"/>
            </w:tcBorders>
            <w:vAlign w:val="center"/>
          </w:tcPr>
          <w:p>
            <w:pPr>
              <w:ind w:right="-20"/>
              <w:jc w:val="center"/>
              <w:rPr>
                <w:rFonts w:eastAsia="仿宋"/>
              </w:rPr>
            </w:pPr>
            <w:r>
              <w:rPr>
                <w:rFonts w:eastAsia="仿宋"/>
              </w:rPr>
              <w:t>拟补充</w:t>
            </w:r>
          </w:p>
        </w:tc>
      </w:tr>
      <w:tr>
        <w:tblPrEx>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PrEx>
        <w:trPr>
          <w:trHeight w:val="367" w:hRule="exact"/>
          <w:jc w:val="center"/>
        </w:trPr>
        <w:tc>
          <w:tcPr>
            <w:tcW w:w="681" w:type="pct"/>
            <w:tcBorders>
              <w:tl2br w:val="nil"/>
              <w:tr2bl w:val="nil"/>
            </w:tcBorders>
            <w:vAlign w:val="center"/>
          </w:tcPr>
          <w:p>
            <w:pPr>
              <w:ind w:left="335" w:right="313"/>
              <w:jc w:val="center"/>
              <w:rPr>
                <w:rFonts w:eastAsia="仿宋"/>
                <w:kern w:val="2"/>
              </w:rPr>
            </w:pPr>
            <w:r>
              <w:rPr>
                <w:rFonts w:eastAsia="仿宋"/>
              </w:rPr>
              <w:t>4</w:t>
            </w:r>
          </w:p>
        </w:tc>
        <w:tc>
          <w:tcPr>
            <w:tcW w:w="1105" w:type="pct"/>
            <w:tcBorders>
              <w:tl2br w:val="nil"/>
              <w:tr2bl w:val="nil"/>
            </w:tcBorders>
            <w:vAlign w:val="center"/>
          </w:tcPr>
          <w:p>
            <w:pPr>
              <w:ind w:left="335" w:right="313"/>
              <w:jc w:val="center"/>
              <w:rPr>
                <w:rFonts w:eastAsia="仿宋"/>
              </w:rPr>
            </w:pPr>
            <w:r>
              <w:rPr>
                <w:rFonts w:eastAsia="仿宋"/>
              </w:rPr>
              <w:t>吸附材料</w:t>
            </w:r>
          </w:p>
        </w:tc>
        <w:tc>
          <w:tcPr>
            <w:tcW w:w="880" w:type="pct"/>
            <w:tcBorders>
              <w:tl2br w:val="nil"/>
              <w:tr2bl w:val="nil"/>
            </w:tcBorders>
            <w:vAlign w:val="center"/>
          </w:tcPr>
          <w:p>
            <w:pPr>
              <w:ind w:left="335" w:right="313"/>
              <w:jc w:val="center"/>
              <w:rPr>
                <w:rFonts w:eastAsia="仿宋"/>
              </w:rPr>
            </w:pPr>
            <w:r>
              <w:rPr>
                <w:rFonts w:eastAsia="仿宋"/>
              </w:rPr>
              <w:t>2套</w:t>
            </w:r>
          </w:p>
        </w:tc>
        <w:tc>
          <w:tcPr>
            <w:tcW w:w="1230" w:type="pct"/>
            <w:tcBorders>
              <w:tl2br w:val="nil"/>
              <w:tr2bl w:val="nil"/>
            </w:tcBorders>
            <w:vAlign w:val="center"/>
          </w:tcPr>
          <w:p>
            <w:pPr>
              <w:ind w:left="335" w:right="313"/>
              <w:jc w:val="center"/>
              <w:rPr>
                <w:rFonts w:eastAsia="仿宋"/>
              </w:rPr>
            </w:pPr>
            <w:r>
              <w:rPr>
                <w:rFonts w:eastAsia="仿宋"/>
              </w:rPr>
              <w:t>应急</w:t>
            </w:r>
          </w:p>
        </w:tc>
        <w:tc>
          <w:tcPr>
            <w:tcW w:w="1101" w:type="pct"/>
            <w:tcBorders>
              <w:tl2br w:val="nil"/>
              <w:tr2bl w:val="nil"/>
            </w:tcBorders>
            <w:vAlign w:val="center"/>
          </w:tcPr>
          <w:p>
            <w:pPr>
              <w:ind w:right="-20"/>
              <w:jc w:val="center"/>
              <w:rPr>
                <w:rFonts w:eastAsia="仿宋"/>
              </w:rPr>
            </w:pPr>
            <w:r>
              <w:rPr>
                <w:rFonts w:eastAsia="仿宋"/>
              </w:rPr>
              <w:t>拟补充</w:t>
            </w:r>
          </w:p>
        </w:tc>
      </w:tr>
      <w:tr>
        <w:tblPrEx>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PrEx>
        <w:trPr>
          <w:trHeight w:val="367" w:hRule="exact"/>
          <w:jc w:val="center"/>
        </w:trPr>
        <w:tc>
          <w:tcPr>
            <w:tcW w:w="681" w:type="pct"/>
            <w:tcBorders>
              <w:tl2br w:val="nil"/>
              <w:tr2bl w:val="nil"/>
            </w:tcBorders>
            <w:vAlign w:val="center"/>
          </w:tcPr>
          <w:p>
            <w:pPr>
              <w:ind w:left="335" w:right="313"/>
              <w:jc w:val="center"/>
              <w:rPr>
                <w:rFonts w:eastAsia="仿宋"/>
                <w:kern w:val="2"/>
              </w:rPr>
            </w:pPr>
            <w:r>
              <w:rPr>
                <w:rFonts w:eastAsia="仿宋"/>
              </w:rPr>
              <w:t>5</w:t>
            </w:r>
          </w:p>
        </w:tc>
        <w:tc>
          <w:tcPr>
            <w:tcW w:w="1105" w:type="pct"/>
            <w:tcBorders>
              <w:tl2br w:val="nil"/>
              <w:tr2bl w:val="nil"/>
            </w:tcBorders>
            <w:vAlign w:val="center"/>
          </w:tcPr>
          <w:p>
            <w:pPr>
              <w:ind w:left="335" w:right="313"/>
              <w:jc w:val="center"/>
              <w:rPr>
                <w:rFonts w:eastAsia="仿宋"/>
              </w:rPr>
            </w:pPr>
            <w:r>
              <w:rPr>
                <w:rFonts w:eastAsia="仿宋"/>
              </w:rPr>
              <w:t>应急药箱</w:t>
            </w:r>
          </w:p>
        </w:tc>
        <w:tc>
          <w:tcPr>
            <w:tcW w:w="880" w:type="pct"/>
            <w:tcBorders>
              <w:tl2br w:val="nil"/>
              <w:tr2bl w:val="nil"/>
            </w:tcBorders>
            <w:vAlign w:val="center"/>
          </w:tcPr>
          <w:p>
            <w:pPr>
              <w:ind w:left="335" w:right="313"/>
              <w:jc w:val="center"/>
              <w:rPr>
                <w:rFonts w:eastAsia="仿宋"/>
              </w:rPr>
            </w:pPr>
            <w:r>
              <w:rPr>
                <w:rFonts w:eastAsia="仿宋"/>
              </w:rPr>
              <w:t>1个</w:t>
            </w:r>
          </w:p>
        </w:tc>
        <w:tc>
          <w:tcPr>
            <w:tcW w:w="1230" w:type="pct"/>
            <w:tcBorders>
              <w:tl2br w:val="nil"/>
              <w:tr2bl w:val="nil"/>
            </w:tcBorders>
            <w:vAlign w:val="center"/>
          </w:tcPr>
          <w:p>
            <w:pPr>
              <w:ind w:left="335" w:right="313"/>
              <w:jc w:val="center"/>
              <w:rPr>
                <w:rFonts w:eastAsia="仿宋"/>
              </w:rPr>
            </w:pPr>
            <w:r>
              <w:rPr>
                <w:rFonts w:eastAsia="仿宋"/>
              </w:rPr>
              <w:t>安全防护</w:t>
            </w:r>
          </w:p>
        </w:tc>
        <w:tc>
          <w:tcPr>
            <w:tcW w:w="1101" w:type="pct"/>
            <w:tcBorders>
              <w:tl2br w:val="nil"/>
              <w:tr2bl w:val="nil"/>
            </w:tcBorders>
            <w:vAlign w:val="center"/>
          </w:tcPr>
          <w:p>
            <w:pPr>
              <w:ind w:right="-20"/>
              <w:jc w:val="center"/>
              <w:rPr>
                <w:rFonts w:eastAsia="仿宋"/>
              </w:rPr>
            </w:pPr>
            <w:r>
              <w:rPr>
                <w:rFonts w:eastAsia="仿宋"/>
              </w:rPr>
              <w:t>拟补充</w:t>
            </w:r>
          </w:p>
        </w:tc>
      </w:tr>
      <w:tr>
        <w:tblPrEx>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PrEx>
        <w:trPr>
          <w:trHeight w:val="367" w:hRule="exact"/>
          <w:jc w:val="center"/>
        </w:trPr>
        <w:tc>
          <w:tcPr>
            <w:tcW w:w="681" w:type="pct"/>
            <w:tcBorders>
              <w:tl2br w:val="nil"/>
              <w:tr2bl w:val="nil"/>
            </w:tcBorders>
            <w:vAlign w:val="center"/>
          </w:tcPr>
          <w:p>
            <w:pPr>
              <w:ind w:left="335" w:right="313"/>
              <w:jc w:val="center"/>
              <w:rPr>
                <w:rFonts w:eastAsia="仿宋"/>
                <w:kern w:val="2"/>
              </w:rPr>
            </w:pPr>
            <w:r>
              <w:rPr>
                <w:rFonts w:eastAsia="仿宋"/>
              </w:rPr>
              <w:t>6</w:t>
            </w:r>
          </w:p>
        </w:tc>
        <w:tc>
          <w:tcPr>
            <w:tcW w:w="1105" w:type="pct"/>
            <w:tcBorders>
              <w:tl2br w:val="nil"/>
              <w:tr2bl w:val="nil"/>
            </w:tcBorders>
            <w:vAlign w:val="center"/>
          </w:tcPr>
          <w:p>
            <w:pPr>
              <w:ind w:left="102" w:right="-20"/>
              <w:jc w:val="center"/>
              <w:rPr>
                <w:rFonts w:eastAsia="仿宋"/>
                <w:kern w:val="2"/>
              </w:rPr>
            </w:pPr>
            <w:r>
              <w:rPr>
                <w:rFonts w:eastAsia="仿宋"/>
              </w:rPr>
              <w:t>消防手套</w:t>
            </w:r>
          </w:p>
        </w:tc>
        <w:tc>
          <w:tcPr>
            <w:tcW w:w="880" w:type="pct"/>
            <w:tcBorders>
              <w:tl2br w:val="nil"/>
              <w:tr2bl w:val="nil"/>
            </w:tcBorders>
            <w:vAlign w:val="center"/>
          </w:tcPr>
          <w:p>
            <w:pPr>
              <w:ind w:right="-20"/>
              <w:jc w:val="center"/>
              <w:rPr>
                <w:rFonts w:eastAsia="仿宋"/>
                <w:kern w:val="2"/>
              </w:rPr>
            </w:pPr>
            <w:r>
              <w:rPr>
                <w:rFonts w:eastAsia="仿宋"/>
              </w:rPr>
              <w:t>2双</w:t>
            </w:r>
          </w:p>
        </w:tc>
        <w:tc>
          <w:tcPr>
            <w:tcW w:w="1230" w:type="pct"/>
            <w:tcBorders>
              <w:tl2br w:val="nil"/>
              <w:tr2bl w:val="nil"/>
            </w:tcBorders>
            <w:vAlign w:val="center"/>
          </w:tcPr>
          <w:p>
            <w:pPr>
              <w:ind w:right="-20"/>
              <w:jc w:val="center"/>
              <w:rPr>
                <w:rFonts w:eastAsia="仿宋"/>
                <w:kern w:val="2"/>
              </w:rPr>
            </w:pPr>
            <w:r>
              <w:rPr>
                <w:rFonts w:eastAsia="仿宋"/>
              </w:rPr>
              <w:t>安全防护</w:t>
            </w:r>
          </w:p>
        </w:tc>
        <w:tc>
          <w:tcPr>
            <w:tcW w:w="1101" w:type="pct"/>
            <w:tcBorders>
              <w:tl2br w:val="nil"/>
              <w:tr2bl w:val="nil"/>
            </w:tcBorders>
            <w:vAlign w:val="center"/>
          </w:tcPr>
          <w:p>
            <w:pPr>
              <w:ind w:right="-20"/>
              <w:jc w:val="center"/>
              <w:rPr>
                <w:rFonts w:eastAsia="仿宋"/>
              </w:rPr>
            </w:pPr>
            <w:r>
              <w:rPr>
                <w:rFonts w:eastAsia="仿宋"/>
              </w:rPr>
              <w:t>拟补充</w:t>
            </w:r>
          </w:p>
        </w:tc>
      </w:tr>
      <w:tr>
        <w:tblPrEx>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PrEx>
        <w:trPr>
          <w:trHeight w:val="367" w:hRule="exact"/>
          <w:jc w:val="center"/>
        </w:trPr>
        <w:tc>
          <w:tcPr>
            <w:tcW w:w="681" w:type="pct"/>
            <w:tcBorders>
              <w:tl2br w:val="nil"/>
              <w:tr2bl w:val="nil"/>
            </w:tcBorders>
            <w:vAlign w:val="center"/>
          </w:tcPr>
          <w:p>
            <w:pPr>
              <w:ind w:left="335" w:right="313"/>
              <w:jc w:val="center"/>
              <w:rPr>
                <w:rFonts w:eastAsia="仿宋"/>
              </w:rPr>
            </w:pPr>
            <w:r>
              <w:rPr>
                <w:rFonts w:eastAsia="仿宋"/>
              </w:rPr>
              <w:t>7</w:t>
            </w:r>
          </w:p>
        </w:tc>
        <w:tc>
          <w:tcPr>
            <w:tcW w:w="1105" w:type="pct"/>
            <w:tcBorders>
              <w:tl2br w:val="nil"/>
              <w:tr2bl w:val="nil"/>
            </w:tcBorders>
            <w:vAlign w:val="center"/>
          </w:tcPr>
          <w:p>
            <w:pPr>
              <w:ind w:left="102" w:right="-20"/>
              <w:jc w:val="center"/>
              <w:rPr>
                <w:rFonts w:eastAsia="仿宋"/>
                <w:kern w:val="2"/>
              </w:rPr>
            </w:pPr>
            <w:r>
              <w:rPr>
                <w:rFonts w:eastAsia="仿宋"/>
              </w:rPr>
              <w:t>干粉灭火器</w:t>
            </w:r>
          </w:p>
        </w:tc>
        <w:tc>
          <w:tcPr>
            <w:tcW w:w="880" w:type="pct"/>
            <w:tcBorders>
              <w:tl2br w:val="nil"/>
              <w:tr2bl w:val="nil"/>
            </w:tcBorders>
            <w:vAlign w:val="center"/>
          </w:tcPr>
          <w:p>
            <w:pPr>
              <w:ind w:right="-20"/>
              <w:jc w:val="center"/>
              <w:rPr>
                <w:rFonts w:eastAsia="仿宋"/>
                <w:kern w:val="2"/>
              </w:rPr>
            </w:pPr>
            <w:r>
              <w:rPr>
                <w:rFonts w:hint="eastAsia" w:eastAsia="仿宋"/>
                <w:lang w:val="en-US" w:eastAsia="zh-CN"/>
              </w:rPr>
              <w:t>5</w:t>
            </w:r>
            <w:r>
              <w:rPr>
                <w:rFonts w:eastAsia="仿宋"/>
              </w:rPr>
              <w:t>个</w:t>
            </w:r>
          </w:p>
        </w:tc>
        <w:tc>
          <w:tcPr>
            <w:tcW w:w="1230" w:type="pct"/>
            <w:tcBorders>
              <w:tl2br w:val="nil"/>
              <w:tr2bl w:val="nil"/>
            </w:tcBorders>
            <w:vAlign w:val="center"/>
          </w:tcPr>
          <w:p>
            <w:pPr>
              <w:ind w:right="-20"/>
              <w:jc w:val="center"/>
              <w:rPr>
                <w:rFonts w:eastAsia="仿宋"/>
                <w:kern w:val="2"/>
              </w:rPr>
            </w:pPr>
            <w:r>
              <w:rPr>
                <w:rFonts w:eastAsia="仿宋"/>
              </w:rPr>
              <w:t>灭火</w:t>
            </w:r>
          </w:p>
        </w:tc>
        <w:tc>
          <w:tcPr>
            <w:tcW w:w="1101" w:type="pct"/>
            <w:tcBorders>
              <w:tl2br w:val="nil"/>
              <w:tr2bl w:val="nil"/>
            </w:tcBorders>
            <w:vAlign w:val="center"/>
          </w:tcPr>
          <w:p>
            <w:pPr>
              <w:ind w:right="-20"/>
              <w:jc w:val="center"/>
              <w:rPr>
                <w:rFonts w:hint="eastAsia" w:eastAsia="仿宋"/>
                <w:lang w:eastAsia="zh-CN"/>
              </w:rPr>
            </w:pPr>
            <w:r>
              <w:rPr>
                <w:rFonts w:hint="eastAsia" w:eastAsia="仿宋"/>
                <w:lang w:val="en-US" w:eastAsia="zh-CN"/>
              </w:rPr>
              <w:t>/</w:t>
            </w:r>
          </w:p>
        </w:tc>
      </w:tr>
      <w:tr>
        <w:tblPrEx>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19" w:hRule="exact"/>
          <w:jc w:val="center"/>
        </w:trPr>
        <w:tc>
          <w:tcPr>
            <w:tcW w:w="681" w:type="pct"/>
            <w:tcBorders>
              <w:tl2br w:val="nil"/>
              <w:tr2bl w:val="nil"/>
            </w:tcBorders>
            <w:vAlign w:val="center"/>
          </w:tcPr>
          <w:p>
            <w:pPr>
              <w:ind w:left="335" w:right="313"/>
              <w:jc w:val="center"/>
              <w:rPr>
                <w:rFonts w:eastAsia="仿宋"/>
              </w:rPr>
            </w:pPr>
            <w:r>
              <w:rPr>
                <w:rFonts w:eastAsia="仿宋"/>
              </w:rPr>
              <w:t>8</w:t>
            </w:r>
          </w:p>
        </w:tc>
        <w:tc>
          <w:tcPr>
            <w:tcW w:w="1105" w:type="pct"/>
            <w:tcBorders>
              <w:tl2br w:val="nil"/>
              <w:tr2bl w:val="nil"/>
            </w:tcBorders>
            <w:vAlign w:val="center"/>
          </w:tcPr>
          <w:p>
            <w:pPr>
              <w:ind w:left="102" w:right="-20"/>
              <w:jc w:val="center"/>
              <w:rPr>
                <w:rFonts w:eastAsia="仿宋"/>
                <w:kern w:val="2"/>
              </w:rPr>
            </w:pPr>
            <w:r>
              <w:rPr>
                <w:rFonts w:eastAsia="仿宋"/>
              </w:rPr>
              <w:t>灭火毯</w:t>
            </w:r>
          </w:p>
        </w:tc>
        <w:tc>
          <w:tcPr>
            <w:tcW w:w="880" w:type="pct"/>
            <w:tcBorders>
              <w:tl2br w:val="nil"/>
              <w:tr2bl w:val="nil"/>
            </w:tcBorders>
            <w:vAlign w:val="center"/>
          </w:tcPr>
          <w:p>
            <w:pPr>
              <w:ind w:right="-20"/>
              <w:jc w:val="center"/>
              <w:rPr>
                <w:rFonts w:eastAsia="仿宋"/>
                <w:kern w:val="2"/>
              </w:rPr>
            </w:pPr>
            <w:r>
              <w:rPr>
                <w:rFonts w:eastAsia="仿宋"/>
              </w:rPr>
              <w:t>2条</w:t>
            </w:r>
          </w:p>
        </w:tc>
        <w:tc>
          <w:tcPr>
            <w:tcW w:w="1230" w:type="pct"/>
            <w:tcBorders>
              <w:tl2br w:val="nil"/>
              <w:tr2bl w:val="nil"/>
            </w:tcBorders>
            <w:vAlign w:val="center"/>
          </w:tcPr>
          <w:p>
            <w:pPr>
              <w:ind w:right="-20"/>
              <w:jc w:val="center"/>
              <w:rPr>
                <w:rFonts w:eastAsia="仿宋"/>
                <w:kern w:val="2"/>
              </w:rPr>
            </w:pPr>
            <w:r>
              <w:rPr>
                <w:rFonts w:eastAsia="仿宋"/>
              </w:rPr>
              <w:t>灭火</w:t>
            </w:r>
          </w:p>
        </w:tc>
        <w:tc>
          <w:tcPr>
            <w:tcW w:w="1101" w:type="pct"/>
            <w:tcBorders>
              <w:tl2br w:val="nil"/>
              <w:tr2bl w:val="nil"/>
            </w:tcBorders>
            <w:vAlign w:val="center"/>
          </w:tcPr>
          <w:p>
            <w:pPr>
              <w:ind w:right="-20"/>
              <w:jc w:val="center"/>
              <w:rPr>
                <w:rFonts w:eastAsia="仿宋"/>
              </w:rPr>
            </w:pPr>
            <w:r>
              <w:rPr>
                <w:rFonts w:eastAsia="仿宋"/>
              </w:rPr>
              <w:t>拟补充</w:t>
            </w:r>
          </w:p>
        </w:tc>
      </w:tr>
      <w:tr>
        <w:tblPrEx>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26" w:hRule="exact"/>
          <w:jc w:val="center"/>
        </w:trPr>
        <w:tc>
          <w:tcPr>
            <w:tcW w:w="681" w:type="pct"/>
            <w:tcBorders>
              <w:tl2br w:val="nil"/>
              <w:tr2bl w:val="nil"/>
            </w:tcBorders>
            <w:vAlign w:val="center"/>
          </w:tcPr>
          <w:p>
            <w:pPr>
              <w:ind w:left="335" w:right="313"/>
              <w:jc w:val="center"/>
              <w:rPr>
                <w:rFonts w:eastAsia="仿宋"/>
              </w:rPr>
            </w:pPr>
            <w:r>
              <w:rPr>
                <w:rFonts w:eastAsia="仿宋"/>
              </w:rPr>
              <w:t>9</w:t>
            </w:r>
          </w:p>
        </w:tc>
        <w:tc>
          <w:tcPr>
            <w:tcW w:w="1105" w:type="pct"/>
            <w:tcBorders>
              <w:tl2br w:val="nil"/>
              <w:tr2bl w:val="nil"/>
            </w:tcBorders>
            <w:vAlign w:val="center"/>
          </w:tcPr>
          <w:p>
            <w:pPr>
              <w:ind w:left="102" w:right="-20"/>
              <w:jc w:val="center"/>
              <w:rPr>
                <w:rFonts w:eastAsia="仿宋"/>
                <w:kern w:val="2"/>
              </w:rPr>
            </w:pPr>
            <w:r>
              <w:rPr>
                <w:rFonts w:eastAsia="仿宋"/>
              </w:rPr>
              <w:t>安全帽</w:t>
            </w:r>
          </w:p>
        </w:tc>
        <w:tc>
          <w:tcPr>
            <w:tcW w:w="880" w:type="pct"/>
            <w:tcBorders>
              <w:tl2br w:val="nil"/>
              <w:tr2bl w:val="nil"/>
            </w:tcBorders>
            <w:vAlign w:val="center"/>
          </w:tcPr>
          <w:p>
            <w:pPr>
              <w:ind w:right="-20"/>
              <w:jc w:val="center"/>
              <w:rPr>
                <w:rFonts w:eastAsia="仿宋"/>
                <w:kern w:val="2"/>
              </w:rPr>
            </w:pPr>
            <w:r>
              <w:rPr>
                <w:rFonts w:eastAsia="仿宋"/>
              </w:rPr>
              <w:t>5个</w:t>
            </w:r>
          </w:p>
        </w:tc>
        <w:tc>
          <w:tcPr>
            <w:tcW w:w="1230" w:type="pct"/>
            <w:tcBorders>
              <w:tl2br w:val="nil"/>
              <w:tr2bl w:val="nil"/>
            </w:tcBorders>
            <w:vAlign w:val="center"/>
          </w:tcPr>
          <w:p>
            <w:pPr>
              <w:ind w:right="-20"/>
              <w:jc w:val="center"/>
              <w:rPr>
                <w:rFonts w:eastAsia="仿宋"/>
                <w:kern w:val="2"/>
              </w:rPr>
            </w:pPr>
            <w:r>
              <w:rPr>
                <w:rFonts w:eastAsia="仿宋"/>
              </w:rPr>
              <w:t>安全防护</w:t>
            </w:r>
          </w:p>
        </w:tc>
        <w:tc>
          <w:tcPr>
            <w:tcW w:w="1101" w:type="pct"/>
            <w:tcBorders>
              <w:tl2br w:val="nil"/>
              <w:tr2bl w:val="nil"/>
            </w:tcBorders>
            <w:vAlign w:val="center"/>
          </w:tcPr>
          <w:p>
            <w:pPr>
              <w:ind w:right="-20"/>
              <w:jc w:val="center"/>
              <w:rPr>
                <w:rFonts w:eastAsia="仿宋"/>
              </w:rPr>
            </w:pPr>
            <w:r>
              <w:rPr>
                <w:rFonts w:eastAsia="仿宋"/>
              </w:rPr>
              <w:t>拟补充</w:t>
            </w:r>
          </w:p>
        </w:tc>
      </w:tr>
      <w:tr>
        <w:tblPrEx>
          <w:tblBorders>
            <w:top w:val="single" w:color="000000" w:sz="4" w:space="0"/>
            <w:left w:val="none" w:color="auto" w:sz="0" w:space="0"/>
            <w:bottom w:val="single" w:color="auto" w:sz="4"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47" w:hRule="exact"/>
          <w:jc w:val="center"/>
        </w:trPr>
        <w:tc>
          <w:tcPr>
            <w:tcW w:w="681" w:type="pct"/>
            <w:tcBorders>
              <w:tl2br w:val="nil"/>
              <w:tr2bl w:val="nil"/>
            </w:tcBorders>
            <w:vAlign w:val="center"/>
          </w:tcPr>
          <w:p>
            <w:pPr>
              <w:ind w:left="335" w:right="313"/>
              <w:jc w:val="center"/>
              <w:rPr>
                <w:rFonts w:eastAsia="仿宋"/>
              </w:rPr>
            </w:pPr>
            <w:r>
              <w:rPr>
                <w:rFonts w:eastAsia="仿宋"/>
              </w:rPr>
              <w:t>10</w:t>
            </w:r>
          </w:p>
        </w:tc>
        <w:tc>
          <w:tcPr>
            <w:tcW w:w="1105" w:type="pct"/>
            <w:tcBorders>
              <w:tl2br w:val="nil"/>
              <w:tr2bl w:val="nil"/>
            </w:tcBorders>
            <w:vAlign w:val="center"/>
          </w:tcPr>
          <w:p>
            <w:pPr>
              <w:ind w:left="102" w:right="-20"/>
              <w:jc w:val="center"/>
              <w:rPr>
                <w:rFonts w:eastAsia="仿宋"/>
                <w:kern w:val="2"/>
              </w:rPr>
            </w:pPr>
            <w:r>
              <w:rPr>
                <w:rFonts w:eastAsia="仿宋"/>
              </w:rPr>
              <w:t>消防水带</w:t>
            </w:r>
          </w:p>
        </w:tc>
        <w:tc>
          <w:tcPr>
            <w:tcW w:w="880" w:type="pct"/>
            <w:tcBorders>
              <w:tl2br w:val="nil"/>
              <w:tr2bl w:val="nil"/>
            </w:tcBorders>
            <w:vAlign w:val="center"/>
          </w:tcPr>
          <w:p>
            <w:pPr>
              <w:ind w:right="-20"/>
              <w:jc w:val="center"/>
              <w:rPr>
                <w:rFonts w:eastAsia="仿宋"/>
                <w:kern w:val="2"/>
              </w:rPr>
            </w:pPr>
            <w:r>
              <w:rPr>
                <w:rFonts w:hint="eastAsia" w:eastAsia="仿宋"/>
              </w:rPr>
              <w:t>2</w:t>
            </w:r>
            <w:r>
              <w:rPr>
                <w:rFonts w:eastAsia="仿宋"/>
              </w:rPr>
              <w:t>盘</w:t>
            </w:r>
          </w:p>
        </w:tc>
        <w:tc>
          <w:tcPr>
            <w:tcW w:w="1230" w:type="pct"/>
            <w:tcBorders>
              <w:tl2br w:val="nil"/>
              <w:tr2bl w:val="nil"/>
            </w:tcBorders>
            <w:vAlign w:val="center"/>
          </w:tcPr>
          <w:p>
            <w:pPr>
              <w:ind w:right="-20"/>
              <w:jc w:val="center"/>
              <w:rPr>
                <w:rFonts w:eastAsia="仿宋"/>
                <w:kern w:val="2"/>
              </w:rPr>
            </w:pPr>
            <w:r>
              <w:rPr>
                <w:rFonts w:eastAsia="仿宋"/>
              </w:rPr>
              <w:t>灭火</w:t>
            </w:r>
          </w:p>
        </w:tc>
        <w:tc>
          <w:tcPr>
            <w:tcW w:w="1101" w:type="pct"/>
            <w:tcBorders>
              <w:tl2br w:val="nil"/>
              <w:tr2bl w:val="nil"/>
            </w:tcBorders>
            <w:vAlign w:val="center"/>
          </w:tcPr>
          <w:p>
            <w:pPr>
              <w:ind w:right="-20"/>
              <w:jc w:val="center"/>
              <w:rPr>
                <w:rFonts w:eastAsia="仿宋"/>
              </w:rPr>
            </w:pPr>
            <w:r>
              <w:rPr>
                <w:rFonts w:eastAsia="仿宋"/>
              </w:rPr>
              <w:t>拟补充</w:t>
            </w:r>
          </w:p>
        </w:tc>
      </w:tr>
    </w:tbl>
    <w:p>
      <w:pPr>
        <w:pStyle w:val="2"/>
        <w:numPr>
          <w:ilvl w:val="0"/>
          <w:numId w:val="1"/>
        </w:numPr>
        <w:spacing w:line="360" w:lineRule="auto"/>
        <w:ind w:left="0" w:firstLine="0"/>
        <w:rPr>
          <w:b/>
          <w:sz w:val="28"/>
          <w:szCs w:val="28"/>
        </w:rPr>
      </w:pPr>
      <w:r>
        <w:rPr>
          <w:rFonts w:hint="eastAsia"/>
          <w:b/>
          <w:sz w:val="28"/>
          <w:szCs w:val="28"/>
        </w:rPr>
        <w:t>环境应急专项经费调查</w:t>
      </w:r>
    </w:p>
    <w:p>
      <w:pPr>
        <w:spacing w:line="360" w:lineRule="auto"/>
        <w:ind w:firstLine="560" w:firstLineChars="200"/>
        <w:rPr>
          <w:rFonts w:eastAsia="仿宋_GB2312"/>
          <w:sz w:val="28"/>
          <w:szCs w:val="28"/>
          <w:lang w:val="zh-CN"/>
        </w:rPr>
      </w:pPr>
      <w:r>
        <w:rPr>
          <w:rFonts w:hint="eastAsia" w:eastAsia="仿宋_GB2312"/>
          <w:sz w:val="28"/>
          <w:szCs w:val="28"/>
          <w:lang w:val="zh-CN"/>
        </w:rPr>
        <w:t>应急救援经费保障是在突发环境事件发生时迅速开展应急工作的前提保障，没有可靠的资金渠道和充足的应急救援经费，就无法保证有效开展应急救援工作和维护应急管理体系正常运转，为此企业应制定应急救援专项经费保障措施，具体如下：</w:t>
      </w:r>
    </w:p>
    <w:p>
      <w:pPr>
        <w:pStyle w:val="3"/>
        <w:spacing w:before="0" w:after="0" w:line="360" w:lineRule="auto"/>
        <w:ind w:left="6" w:hanging="6" w:hangingChars="2"/>
        <w:rPr>
          <w:rFonts w:ascii="仿宋" w:hAnsi="仿宋" w:eastAsia="仿宋"/>
          <w:sz w:val="28"/>
          <w:szCs w:val="28"/>
        </w:rPr>
      </w:pPr>
      <w:r>
        <w:rPr>
          <w:rFonts w:ascii="仿宋" w:hAnsi="仿宋" w:eastAsia="仿宋"/>
          <w:sz w:val="28"/>
          <w:szCs w:val="28"/>
        </w:rPr>
        <w:t xml:space="preserve">5.1 </w:t>
      </w:r>
      <w:r>
        <w:rPr>
          <w:rFonts w:hint="eastAsia" w:ascii="仿宋" w:hAnsi="仿宋" w:eastAsia="仿宋"/>
          <w:sz w:val="28"/>
          <w:szCs w:val="28"/>
        </w:rPr>
        <w:t>建立应急经费保障机制</w:t>
      </w:r>
    </w:p>
    <w:p>
      <w:pPr>
        <w:overflowPunct w:val="0"/>
        <w:spacing w:line="413" w:lineRule="auto"/>
        <w:ind w:right="107" w:firstLine="560" w:firstLineChars="200"/>
        <w:jc w:val="both"/>
        <w:rPr>
          <w:rFonts w:eastAsia="仿宋_GB2312"/>
          <w:sz w:val="28"/>
          <w:szCs w:val="28"/>
          <w:lang w:val="zh-CN"/>
        </w:rPr>
      </w:pPr>
      <w:r>
        <w:rPr>
          <w:rFonts w:hint="eastAsia" w:eastAsia="仿宋_GB2312"/>
          <w:sz w:val="28"/>
          <w:szCs w:val="28"/>
          <w:lang w:val="zh-CN"/>
        </w:rPr>
        <w:t>可考虑着眼应对多种安全威胁，完成多样化救援任务的能力需要，按照战时应战、平时应急的思路，将现有应急管理体系中的抢险救灾领导机构和各应急救援专业小组有机结合起来，平时领导抢险救灾和做好动员准备，战时指挥动员实施职能。应急救援财力保障专业小组要把抢险救灾经费、物资装备经费等项目进行整合和统一管理。</w:t>
      </w:r>
    </w:p>
    <w:p>
      <w:pPr>
        <w:overflowPunct w:val="0"/>
        <w:spacing w:line="413" w:lineRule="auto"/>
        <w:ind w:right="107" w:firstLine="560" w:firstLineChars="200"/>
        <w:rPr>
          <w:rFonts w:eastAsia="仿宋_GB2312"/>
          <w:sz w:val="28"/>
          <w:szCs w:val="28"/>
          <w:lang w:val="zh-CN"/>
        </w:rPr>
      </w:pPr>
      <w:r>
        <w:rPr>
          <w:rFonts w:hint="eastAsia" w:eastAsia="仿宋_GB2312"/>
          <w:sz w:val="28"/>
          <w:szCs w:val="28"/>
          <w:lang w:val="zh-CN"/>
        </w:rPr>
        <w:t>主要职责是：平时做好动员准备、开展动员演练的经费保障，以及防灾抗灾经费管理的基础工作，负责对包括应急投入和应急专项资金在内的所有保障基金的管理和运营；制定应对各种自然灾害和突发事件经费保障的应急经费保障预案、紧急状态下的财经执行法规和制度；与包括抢险救援、医疗救护、通信信息、交通运输、后勤服务在内的各有关职能小组建立紧急况下的经费协调关系。一旦发生自然灾害或突发紧急事件，经费保障管理机构即成为应急救援经费管理指挥中心，负责召集上述相关部门进行灾情分析和项目论证、救灾资金的紧急动员、各部门资金需求统计和协调、救灾物资的采购和统一支付以及阶段性资金投入使用。</w:t>
      </w:r>
    </w:p>
    <w:p>
      <w:pPr>
        <w:pStyle w:val="3"/>
        <w:spacing w:before="0" w:after="0" w:line="360" w:lineRule="auto"/>
        <w:rPr>
          <w:rFonts w:ascii="仿宋" w:hAnsi="仿宋" w:eastAsia="仿宋"/>
          <w:sz w:val="28"/>
          <w:szCs w:val="28"/>
        </w:rPr>
      </w:pPr>
      <w:r>
        <w:rPr>
          <w:rFonts w:ascii="仿宋" w:hAnsi="仿宋" w:eastAsia="仿宋"/>
          <w:sz w:val="28"/>
          <w:szCs w:val="28"/>
        </w:rPr>
        <w:t xml:space="preserve">5.2 </w:t>
      </w:r>
      <w:r>
        <w:rPr>
          <w:rFonts w:hint="eastAsia" w:ascii="仿宋" w:hAnsi="仿宋" w:eastAsia="仿宋"/>
          <w:sz w:val="28"/>
          <w:szCs w:val="28"/>
        </w:rPr>
        <w:t>建立有机统一的协调机制</w:t>
      </w:r>
    </w:p>
    <w:p>
      <w:pPr>
        <w:spacing w:line="360" w:lineRule="auto"/>
        <w:ind w:firstLine="560" w:firstLineChars="200"/>
        <w:jc w:val="both"/>
        <w:rPr>
          <w:rFonts w:eastAsia="仿宋_GB2312"/>
          <w:sz w:val="28"/>
          <w:szCs w:val="28"/>
          <w:lang w:val="zh-CN"/>
        </w:rPr>
      </w:pPr>
      <w:r>
        <w:rPr>
          <w:rFonts w:hint="eastAsia" w:eastAsia="仿宋_GB2312"/>
          <w:sz w:val="28"/>
          <w:szCs w:val="28"/>
          <w:lang w:val="zh-CN"/>
        </w:rPr>
        <w:t>首先要明确经费保障的协调主体及其职责。总体上可考虑依托企业应急工作领导小组建应急救援资金协调管理小组，由企业应急工作领导办公室统一管理调度，发生重大自然灾害和突发事件时积极响应防灾救灾经费保障统管部门组织工作。由企业组织抗灾救援工作时，后勤部门应急救援资金协调管理小组对口协调企业防灾救灾经费保障统管部门，申请企业财务资金及时划拨应急保障；其次要进一步理顺企业内部需求上报渠道。</w:t>
      </w:r>
    </w:p>
    <w:p>
      <w:pPr>
        <w:overflowPunct w:val="0"/>
        <w:spacing w:line="413" w:lineRule="auto"/>
        <w:ind w:left="119" w:right="107" w:firstLine="560"/>
        <w:jc w:val="both"/>
        <w:rPr>
          <w:rFonts w:eastAsia="仿宋_GB2312"/>
          <w:sz w:val="28"/>
          <w:szCs w:val="28"/>
          <w:lang w:val="zh-CN"/>
        </w:rPr>
      </w:pPr>
      <w:r>
        <w:rPr>
          <w:rFonts w:hint="eastAsia" w:eastAsia="仿宋_GB2312"/>
          <w:sz w:val="28"/>
          <w:szCs w:val="28"/>
          <w:lang w:val="zh-CN"/>
        </w:rPr>
        <w:t>经费保障跟着需求走，企业内部需求提不出来，经费申请和下达就缺乏相应依据。企业进行抗灾救灾活动要逐渐形成统计上报制度，并保证企业内部各系统之间信息渠道的顺畅。各救援组可指定专人负责将所需经费保障数额上报至企业应急救援指挥部，经由抗灾救灾指挥机构专人汇总后及时报送企业应急救援资金协调管理小组审核。</w:t>
      </w:r>
    </w:p>
    <w:p>
      <w:pPr>
        <w:pStyle w:val="3"/>
        <w:spacing w:before="0" w:after="0" w:line="360" w:lineRule="auto"/>
        <w:rPr>
          <w:rFonts w:ascii="仿宋" w:hAnsi="仿宋" w:eastAsia="仿宋"/>
          <w:sz w:val="28"/>
          <w:szCs w:val="28"/>
        </w:rPr>
      </w:pPr>
      <w:r>
        <w:rPr>
          <w:rFonts w:ascii="仿宋" w:hAnsi="仿宋" w:eastAsia="仿宋"/>
          <w:sz w:val="28"/>
          <w:szCs w:val="28"/>
        </w:rPr>
        <w:t xml:space="preserve">5.3 </w:t>
      </w:r>
      <w:r>
        <w:rPr>
          <w:rFonts w:hint="eastAsia" w:ascii="仿宋" w:hAnsi="仿宋" w:eastAsia="仿宋"/>
          <w:sz w:val="28"/>
          <w:szCs w:val="28"/>
        </w:rPr>
        <w:t>建立可靠的资金保障体系</w:t>
      </w:r>
    </w:p>
    <w:p>
      <w:pPr>
        <w:overflowPunct w:val="0"/>
        <w:spacing w:line="413" w:lineRule="auto"/>
        <w:ind w:right="107" w:firstLine="560" w:firstLineChars="200"/>
        <w:jc w:val="both"/>
        <w:rPr>
          <w:rFonts w:eastAsia="仿宋_GB2312"/>
          <w:sz w:val="28"/>
          <w:szCs w:val="28"/>
          <w:lang w:val="zh-CN"/>
        </w:rPr>
      </w:pPr>
      <w:r>
        <w:rPr>
          <w:rFonts w:hint="eastAsia" w:eastAsia="仿宋_GB2312"/>
          <w:sz w:val="28"/>
          <w:szCs w:val="28"/>
          <w:lang w:val="zh-CN"/>
        </w:rPr>
        <w:t>企业要建立一定规模的应急资金。企业每年在制定安全生产投计划时要预留部分应急资金，并把这部分应急资金列入企业预算。</w:t>
      </w:r>
    </w:p>
    <w:p>
      <w:pPr>
        <w:pStyle w:val="3"/>
        <w:spacing w:before="0" w:after="0" w:line="360" w:lineRule="auto"/>
        <w:rPr>
          <w:rFonts w:eastAsia="仿宋_GB2312"/>
          <w:sz w:val="28"/>
          <w:szCs w:val="28"/>
          <w:lang w:val="zh-CN"/>
        </w:rPr>
      </w:pPr>
      <w:r>
        <w:rPr>
          <w:rFonts w:ascii="仿宋" w:hAnsi="仿宋" w:eastAsia="仿宋"/>
          <w:sz w:val="28"/>
          <w:szCs w:val="28"/>
        </w:rPr>
        <w:t xml:space="preserve">5.4 </w:t>
      </w:r>
      <w:r>
        <w:rPr>
          <w:rFonts w:hint="eastAsia" w:ascii="仿宋" w:hAnsi="仿宋" w:eastAsia="仿宋"/>
          <w:sz w:val="28"/>
          <w:szCs w:val="28"/>
        </w:rPr>
        <w:t>强化经费保障监管力度</w:t>
      </w:r>
    </w:p>
    <w:p>
      <w:pPr>
        <w:overflowPunct w:val="0"/>
        <w:spacing w:line="413" w:lineRule="auto"/>
        <w:ind w:right="107" w:firstLine="560" w:firstLineChars="200"/>
        <w:rPr>
          <w:rFonts w:eastAsia="仿宋_GB2312"/>
          <w:sz w:val="28"/>
          <w:szCs w:val="28"/>
          <w:lang w:val="zh-CN"/>
        </w:rPr>
      </w:pPr>
      <w:r>
        <w:rPr>
          <w:rFonts w:hint="eastAsia" w:eastAsia="仿宋_GB2312"/>
          <w:sz w:val="28"/>
          <w:szCs w:val="28"/>
          <w:lang w:val="zh-CN"/>
        </w:rPr>
        <w:t>首先要建立全方位监管制度。完善的法规制度是实施经费保障监管工作的根本依据。要健全完善救灾经费管理的规章和管理办法，使经费监管工作有章可循。其次要建立全过程全方位监控机制。监督管理工作要能够覆盖经费筹措募集、申请划拨、采购支付全过程。</w:t>
      </w:r>
    </w:p>
    <w:p>
      <w:pPr>
        <w:pStyle w:val="3"/>
        <w:spacing w:before="0" w:after="0" w:line="360" w:lineRule="auto"/>
        <w:rPr>
          <w:rFonts w:ascii="仿宋" w:hAnsi="仿宋" w:eastAsia="仿宋"/>
          <w:sz w:val="28"/>
          <w:szCs w:val="28"/>
          <w:lang w:val="zh-CN"/>
        </w:rPr>
      </w:pPr>
      <w:r>
        <w:rPr>
          <w:rFonts w:ascii="仿宋" w:hAnsi="仿宋" w:eastAsia="仿宋"/>
          <w:sz w:val="28"/>
          <w:szCs w:val="28"/>
        </w:rPr>
        <w:t xml:space="preserve">5.5 </w:t>
      </w:r>
      <w:r>
        <w:rPr>
          <w:rFonts w:hint="eastAsia" w:ascii="仿宋" w:hAnsi="仿宋" w:eastAsia="仿宋"/>
          <w:sz w:val="28"/>
          <w:szCs w:val="28"/>
        </w:rPr>
        <w:t>完善经费保障体系</w:t>
      </w:r>
    </w:p>
    <w:p>
      <w:pPr>
        <w:overflowPunct w:val="0"/>
        <w:spacing w:line="413" w:lineRule="auto"/>
        <w:ind w:right="107" w:firstLine="560" w:firstLineChars="200"/>
        <w:jc w:val="both"/>
        <w:rPr>
          <w:rFonts w:eastAsia="仿宋_GB2312"/>
          <w:sz w:val="28"/>
          <w:szCs w:val="28"/>
          <w:lang w:val="zh-CN"/>
        </w:rPr>
      </w:pPr>
      <w:r>
        <w:rPr>
          <w:rFonts w:hint="eastAsia" w:eastAsia="仿宋_GB2312"/>
          <w:sz w:val="28"/>
          <w:szCs w:val="28"/>
          <w:lang w:val="zh-CN"/>
        </w:rPr>
        <w:t>要进一步整合完善在应对环境保护与安全生产等突发事件中制定的各项标准和经费保障管理规定。根据企业安全形势的变化，以及可能发生的突发事件，对救援经费管理规定和相关标准及时修订整理和完善，使应对突发事件的经费保障管理制度更加体系化、规范化、条理化。此外，还要制定针对性和操作性强的应急救援经费保障工作规章。明确相关人员在应急救援经费保障工作中的职责、任务、行动方式、协作办法，形成一套条款详细、操作性强的管理办法，使各部门、各环节在应急救援经费保障中能够相互配合。</w:t>
      </w:r>
    </w:p>
    <w:p>
      <w:pPr>
        <w:pStyle w:val="3"/>
        <w:spacing w:before="0" w:after="0" w:line="360" w:lineRule="auto"/>
        <w:rPr>
          <w:rFonts w:ascii="仿宋" w:hAnsi="仿宋" w:eastAsia="仿宋"/>
          <w:sz w:val="28"/>
          <w:szCs w:val="28"/>
        </w:rPr>
      </w:pPr>
      <w:r>
        <w:rPr>
          <w:rFonts w:ascii="仿宋" w:hAnsi="仿宋" w:eastAsia="仿宋"/>
          <w:sz w:val="28"/>
          <w:szCs w:val="28"/>
        </w:rPr>
        <w:t xml:space="preserve">5.6 </w:t>
      </w:r>
      <w:r>
        <w:rPr>
          <w:rFonts w:hint="eastAsia" w:ascii="仿宋" w:hAnsi="仿宋" w:eastAsia="仿宋"/>
          <w:sz w:val="28"/>
          <w:szCs w:val="28"/>
        </w:rPr>
        <w:t>应急资源调查的结论</w:t>
      </w:r>
    </w:p>
    <w:p>
      <w:pPr>
        <w:ind w:firstLine="560" w:firstLineChars="200"/>
        <w:jc w:val="both"/>
        <w:rPr>
          <w:rFonts w:eastAsia="仿宋_GB2312"/>
          <w:sz w:val="28"/>
          <w:szCs w:val="28"/>
          <w:lang w:val="zh-CN"/>
        </w:rPr>
      </w:pPr>
      <w:r>
        <w:rPr>
          <w:rFonts w:hint="eastAsia" w:eastAsia="仿宋_GB2312"/>
          <w:sz w:val="28"/>
          <w:szCs w:val="28"/>
          <w:lang w:val="zh-CN"/>
        </w:rPr>
        <w:t>本次应急资源调查从“人、财、物”三方面进行了调查：本企业已组建了应急救援队伍并按安全、消防、环保等部门要求配备了必要的应急设施及装备。由于企业突发环境事件类型比较简单，通过本次调查摸清了本单位与政府配套的公共应急资源及队伍，突发环境事件发生时，如果能及时有效的利用好这些资源，对突发环境事件的控制是非常有利的。此外，为了使突发事件发生时各项应急救援工作有序开展，应急救援经费也是必不可少的，为此企业还制定了专项经费保障措施，只要企业落实好措施是能够满足事故。</w:t>
      </w: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overflowPunct w:val="0"/>
      <w:spacing w:line="14" w:lineRule="auto"/>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overflowPunct w:val="0"/>
      <w:spacing w:line="14" w:lineRule="auto"/>
      <w:rPr>
        <w:sz w:val="20"/>
        <w:szCs w:val="20"/>
      </w:rPr>
    </w:pPr>
    <w:r>
      <w:pict>
        <v:shape id="_x0000_s4097" o:spid="_x0000_s4097" o:spt="202" type="#_x0000_t202" style="position:absolute;left:0pt;margin-left:291.15pt;margin-top:771.5pt;height:11pt;width:13pt;mso-position-horizontal-relative:page;mso-position-vertical-relative:page;z-index:-1024;mso-width-relative:page;mso-height-relative:page;" filled="f" stroked="f" coordsize="21600,21600" o:allowincell="f">
          <v:path/>
          <v:fill on="f" focussize="0,0"/>
          <v:stroke on="f" joinstyle="miter"/>
          <v:imagedata o:title=""/>
          <o:lock v:ext="edit"/>
          <v:textbox inset="0mm,0mm,0mm,0mm">
            <w:txbxContent>
              <w:p>
                <w:pPr>
                  <w:kinsoku w:val="0"/>
                  <w:overflowPunct w:val="0"/>
                  <w:spacing w:line="204" w:lineRule="exact"/>
                  <w:ind w:left="40"/>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p>
    <w:pPr>
      <w:pStyle w:val="10"/>
    </w:pPr>
  </w:p>
  <w:p>
    <w:pPr>
      <w:pStyle w:val="10"/>
    </w:pPr>
  </w:p>
  <w:p>
    <w:pPr>
      <w:pStyle w:val="10"/>
      <w:jc w:val="right"/>
      <w:rPr>
        <w:rFonts w:ascii="仿宋" w:hAnsi="仿宋" w:eastAsia="仿宋"/>
        <w:b/>
        <w:sz w:val="21"/>
        <w:szCs w:val="21"/>
      </w:rPr>
    </w:pPr>
    <w:r>
      <w:rPr>
        <w:rFonts w:hint="eastAsia" w:ascii="仿宋" w:hAnsi="仿宋" w:eastAsia="仿宋"/>
        <w:b/>
        <w:sz w:val="21"/>
        <w:szCs w:val="21"/>
      </w:rPr>
      <w:t>咸阳恒泰热处理技术有限公司环境应急资源调查报告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57FF5"/>
    <w:multiLevelType w:val="multilevel"/>
    <w:tmpl w:val="09757FF5"/>
    <w:lvl w:ilvl="0" w:tentative="0">
      <w:start w:val="1"/>
      <w:numFmt w:val="decimal"/>
      <w:lvlText w:val="%1."/>
      <w:lvlJc w:val="left"/>
      <w:pPr>
        <w:ind w:left="720" w:hanging="720"/>
      </w:pPr>
      <w:rPr>
        <w:rFonts w:hint="default" w:cs="Times New Roman"/>
      </w:rPr>
    </w:lvl>
    <w:lvl w:ilvl="1" w:tentative="0">
      <w:start w:val="1"/>
      <w:numFmt w:val="decimal"/>
      <w:isLgl/>
      <w:lvlText w:val="%1.%2"/>
      <w:lvlJc w:val="left"/>
      <w:pPr>
        <w:ind w:left="1372" w:hanging="495"/>
      </w:pPr>
      <w:rPr>
        <w:rFonts w:hint="default" w:cs="Times New Roman"/>
      </w:rPr>
    </w:lvl>
    <w:lvl w:ilvl="2" w:tentative="0">
      <w:start w:val="1"/>
      <w:numFmt w:val="decimal"/>
      <w:isLgl/>
      <w:lvlText w:val="%1.%2.%3"/>
      <w:lvlJc w:val="left"/>
      <w:pPr>
        <w:ind w:left="2474" w:hanging="720"/>
      </w:pPr>
      <w:rPr>
        <w:rFonts w:hint="default" w:cs="Times New Roman"/>
      </w:rPr>
    </w:lvl>
    <w:lvl w:ilvl="3" w:tentative="0">
      <w:start w:val="1"/>
      <w:numFmt w:val="decimal"/>
      <w:isLgl/>
      <w:lvlText w:val="%1.%2.%3.%4"/>
      <w:lvlJc w:val="left"/>
      <w:pPr>
        <w:ind w:left="3711" w:hanging="1080"/>
      </w:pPr>
      <w:rPr>
        <w:rFonts w:hint="default" w:cs="Times New Roman"/>
      </w:rPr>
    </w:lvl>
    <w:lvl w:ilvl="4" w:tentative="0">
      <w:start w:val="1"/>
      <w:numFmt w:val="decimal"/>
      <w:isLgl/>
      <w:lvlText w:val="%1.%2.%3.%4.%5"/>
      <w:lvlJc w:val="left"/>
      <w:pPr>
        <w:ind w:left="4588" w:hanging="1080"/>
      </w:pPr>
      <w:rPr>
        <w:rFonts w:hint="default" w:cs="Times New Roman"/>
      </w:rPr>
    </w:lvl>
    <w:lvl w:ilvl="5" w:tentative="0">
      <w:start w:val="1"/>
      <w:numFmt w:val="decimal"/>
      <w:isLgl/>
      <w:lvlText w:val="%1.%2.%3.%4.%5.%6"/>
      <w:lvlJc w:val="left"/>
      <w:pPr>
        <w:ind w:left="5825" w:hanging="1440"/>
      </w:pPr>
      <w:rPr>
        <w:rFonts w:hint="default" w:cs="Times New Roman"/>
      </w:rPr>
    </w:lvl>
    <w:lvl w:ilvl="6" w:tentative="0">
      <w:start w:val="1"/>
      <w:numFmt w:val="decimal"/>
      <w:isLgl/>
      <w:lvlText w:val="%1.%2.%3.%4.%5.%6.%7"/>
      <w:lvlJc w:val="left"/>
      <w:pPr>
        <w:ind w:left="6702" w:hanging="1440"/>
      </w:pPr>
      <w:rPr>
        <w:rFonts w:hint="default" w:cs="Times New Roman"/>
      </w:rPr>
    </w:lvl>
    <w:lvl w:ilvl="7" w:tentative="0">
      <w:start w:val="1"/>
      <w:numFmt w:val="decimal"/>
      <w:isLgl/>
      <w:lvlText w:val="%1.%2.%3.%4.%5.%6.%7.%8"/>
      <w:lvlJc w:val="left"/>
      <w:pPr>
        <w:ind w:left="7939" w:hanging="1800"/>
      </w:pPr>
      <w:rPr>
        <w:rFonts w:hint="default" w:cs="Times New Roman"/>
      </w:rPr>
    </w:lvl>
    <w:lvl w:ilvl="8" w:tentative="0">
      <w:start w:val="1"/>
      <w:numFmt w:val="decimal"/>
      <w:isLgl/>
      <w:lvlText w:val="%1.%2.%3.%4.%5.%6.%7.%8.%9"/>
      <w:lvlJc w:val="left"/>
      <w:pPr>
        <w:ind w:left="9176" w:hanging="2160"/>
      </w:pPr>
      <w:rPr>
        <w:rFonts w:hint="default"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4AE"/>
    <w:rsid w:val="001344DE"/>
    <w:rsid w:val="001B7359"/>
    <w:rsid w:val="001C7EAE"/>
    <w:rsid w:val="001E0C17"/>
    <w:rsid w:val="002114AE"/>
    <w:rsid w:val="00212097"/>
    <w:rsid w:val="00245113"/>
    <w:rsid w:val="00246AAC"/>
    <w:rsid w:val="00276432"/>
    <w:rsid w:val="00314E1A"/>
    <w:rsid w:val="00376577"/>
    <w:rsid w:val="004853F3"/>
    <w:rsid w:val="004D00DF"/>
    <w:rsid w:val="00602CC8"/>
    <w:rsid w:val="00606AA0"/>
    <w:rsid w:val="00657862"/>
    <w:rsid w:val="006E6BE4"/>
    <w:rsid w:val="006E7786"/>
    <w:rsid w:val="007017BA"/>
    <w:rsid w:val="00760506"/>
    <w:rsid w:val="00791A1C"/>
    <w:rsid w:val="007D6B10"/>
    <w:rsid w:val="008A3988"/>
    <w:rsid w:val="009719E5"/>
    <w:rsid w:val="009B4706"/>
    <w:rsid w:val="00A82BB9"/>
    <w:rsid w:val="00A85550"/>
    <w:rsid w:val="00C90942"/>
    <w:rsid w:val="00CA056C"/>
    <w:rsid w:val="00D42E49"/>
    <w:rsid w:val="00D42FA3"/>
    <w:rsid w:val="00DB7DAE"/>
    <w:rsid w:val="00EA08B1"/>
    <w:rsid w:val="00F20406"/>
    <w:rsid w:val="00FA629A"/>
    <w:rsid w:val="00FC2EC7"/>
    <w:rsid w:val="0F7A75CB"/>
    <w:rsid w:val="10322CDE"/>
    <w:rsid w:val="16147D51"/>
    <w:rsid w:val="18CA71C0"/>
    <w:rsid w:val="30D50FB8"/>
    <w:rsid w:val="319C32B9"/>
    <w:rsid w:val="329A10B7"/>
    <w:rsid w:val="32D43939"/>
    <w:rsid w:val="36C5180B"/>
    <w:rsid w:val="41FF244D"/>
    <w:rsid w:val="4FBC13D7"/>
    <w:rsid w:val="537860D5"/>
    <w:rsid w:val="5BE364A3"/>
    <w:rsid w:val="65133FED"/>
    <w:rsid w:val="65575DD8"/>
    <w:rsid w:val="655D2251"/>
    <w:rsid w:val="6A13523F"/>
    <w:rsid w:val="6C6E345C"/>
    <w:rsid w:val="6EE9164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nhideWhenUsed="0" w:uiPriority="99" w:semiHidden="0" w:name="heading 6"/>
    <w:lsdException w:qFormat="1" w:unhideWhenUsed="0" w:uiPriority="99" w:semiHidden="0" w:name="heading 7"/>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semiHidden="0"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Times New Roman" w:hAnsi="Times New Roman" w:eastAsia="宋体" w:cs="Times New Roman"/>
      <w:sz w:val="24"/>
      <w:szCs w:val="24"/>
      <w:lang w:val="en-US" w:eastAsia="zh-CN" w:bidi="ar-SA"/>
    </w:rPr>
  </w:style>
  <w:style w:type="paragraph" w:styleId="2">
    <w:name w:val="heading 1"/>
    <w:basedOn w:val="1"/>
    <w:next w:val="1"/>
    <w:link w:val="15"/>
    <w:qFormat/>
    <w:uiPriority w:val="99"/>
    <w:pPr>
      <w:ind w:left="613"/>
      <w:outlineLvl w:val="0"/>
    </w:pPr>
    <w:rPr>
      <w:rFonts w:ascii="仿宋" w:eastAsia="仿宋" w:cs="仿宋"/>
      <w:sz w:val="52"/>
      <w:szCs w:val="52"/>
    </w:rPr>
  </w:style>
  <w:style w:type="paragraph" w:styleId="3">
    <w:name w:val="heading 2"/>
    <w:basedOn w:val="1"/>
    <w:next w:val="1"/>
    <w:link w:val="16"/>
    <w:qFormat/>
    <w:uiPriority w:val="99"/>
    <w:pPr>
      <w:keepNext/>
      <w:keepLines/>
      <w:spacing w:before="260" w:after="260" w:line="416" w:lineRule="auto"/>
      <w:outlineLvl w:val="1"/>
    </w:pPr>
    <w:rPr>
      <w:rFonts w:ascii="Cambria" w:hAnsi="Cambria"/>
      <w:b/>
      <w:bCs/>
      <w:sz w:val="32"/>
      <w:szCs w:val="32"/>
    </w:rPr>
  </w:style>
  <w:style w:type="paragraph" w:styleId="4">
    <w:name w:val="heading 6"/>
    <w:basedOn w:val="1"/>
    <w:next w:val="1"/>
    <w:link w:val="17"/>
    <w:qFormat/>
    <w:uiPriority w:val="99"/>
    <w:pPr>
      <w:spacing w:before="59"/>
      <w:ind w:left="680"/>
      <w:outlineLvl w:val="5"/>
    </w:pPr>
    <w:rPr>
      <w:rFonts w:ascii="宋体" w:eastAsia="Times New Roman" w:cs="宋体"/>
      <w:sz w:val="28"/>
      <w:szCs w:val="28"/>
    </w:rPr>
  </w:style>
  <w:style w:type="paragraph" w:styleId="5">
    <w:name w:val="heading 7"/>
    <w:basedOn w:val="1"/>
    <w:next w:val="1"/>
    <w:link w:val="18"/>
    <w:qFormat/>
    <w:uiPriority w:val="99"/>
    <w:pPr>
      <w:keepNext/>
      <w:keepLines/>
      <w:spacing w:before="240" w:after="64" w:line="320" w:lineRule="auto"/>
      <w:outlineLvl w:val="6"/>
    </w:pPr>
    <w:rPr>
      <w:b/>
      <w:bCs/>
    </w:rPr>
  </w:style>
  <w:style w:type="character" w:default="1" w:styleId="13">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annotation text"/>
    <w:basedOn w:val="1"/>
    <w:link w:val="19"/>
    <w:qFormat/>
    <w:uiPriority w:val="99"/>
  </w:style>
  <w:style w:type="paragraph" w:styleId="7">
    <w:name w:val="Plain Text"/>
    <w:basedOn w:val="1"/>
    <w:link w:val="21"/>
    <w:qFormat/>
    <w:uiPriority w:val="99"/>
    <w:pPr>
      <w:autoSpaceDE/>
      <w:autoSpaceDN/>
      <w:adjustRightInd/>
      <w:jc w:val="both"/>
    </w:pPr>
    <w:rPr>
      <w:rFonts w:ascii="宋体" w:hAnsi="Courier New" w:eastAsia="Times New Roman"/>
      <w:kern w:val="2"/>
      <w:sz w:val="21"/>
      <w:szCs w:val="20"/>
      <w:lang w:val="zh-CN"/>
    </w:rPr>
  </w:style>
  <w:style w:type="paragraph" w:styleId="8">
    <w:name w:val="Balloon Text"/>
    <w:basedOn w:val="1"/>
    <w:link w:val="22"/>
    <w:qFormat/>
    <w:uiPriority w:val="99"/>
    <w:rPr>
      <w:sz w:val="18"/>
      <w:szCs w:val="18"/>
    </w:rPr>
  </w:style>
  <w:style w:type="paragraph" w:styleId="9">
    <w:name w:val="footer"/>
    <w:basedOn w:val="1"/>
    <w:link w:val="23"/>
    <w:uiPriority w:val="99"/>
    <w:pPr>
      <w:tabs>
        <w:tab w:val="center" w:pos="4153"/>
        <w:tab w:val="right" w:pos="8306"/>
      </w:tabs>
      <w:snapToGrid w:val="0"/>
    </w:pPr>
    <w:rPr>
      <w:sz w:val="18"/>
      <w:szCs w:val="18"/>
    </w:rPr>
  </w:style>
  <w:style w:type="paragraph" w:styleId="10">
    <w:name w:val="header"/>
    <w:basedOn w:val="1"/>
    <w:link w:val="24"/>
    <w:qFormat/>
    <w:uiPriority w:val="99"/>
    <w:pPr>
      <w:pBdr>
        <w:bottom w:val="single" w:color="auto" w:sz="6" w:space="1"/>
      </w:pBdr>
      <w:tabs>
        <w:tab w:val="center" w:pos="4153"/>
        <w:tab w:val="right" w:pos="8306"/>
      </w:tabs>
      <w:snapToGrid w:val="0"/>
      <w:jc w:val="center"/>
    </w:pPr>
    <w:rPr>
      <w:sz w:val="18"/>
      <w:szCs w:val="18"/>
    </w:rPr>
  </w:style>
  <w:style w:type="paragraph" w:styleId="11">
    <w:name w:val="annotation subject"/>
    <w:basedOn w:val="6"/>
    <w:next w:val="6"/>
    <w:link w:val="20"/>
    <w:qFormat/>
    <w:uiPriority w:val="99"/>
    <w:rPr>
      <w:b/>
      <w:bCs/>
    </w:rPr>
  </w:style>
  <w:style w:type="character" w:styleId="14">
    <w:name w:val="annotation reference"/>
    <w:qFormat/>
    <w:uiPriority w:val="99"/>
    <w:rPr>
      <w:rFonts w:cs="Times New Roman"/>
      <w:sz w:val="21"/>
      <w:szCs w:val="21"/>
    </w:rPr>
  </w:style>
  <w:style w:type="character" w:customStyle="1" w:styleId="15">
    <w:name w:val="标题 1 字符"/>
    <w:link w:val="2"/>
    <w:qFormat/>
    <w:locked/>
    <w:uiPriority w:val="99"/>
    <w:rPr>
      <w:rFonts w:ascii="仿宋" w:hAnsi="Times New Roman" w:eastAsia="仿宋" w:cs="仿宋"/>
      <w:kern w:val="0"/>
      <w:sz w:val="52"/>
      <w:szCs w:val="52"/>
    </w:rPr>
  </w:style>
  <w:style w:type="character" w:customStyle="1" w:styleId="16">
    <w:name w:val="标题 2 字符"/>
    <w:link w:val="3"/>
    <w:qFormat/>
    <w:locked/>
    <w:uiPriority w:val="99"/>
    <w:rPr>
      <w:rFonts w:ascii="Cambria" w:hAnsi="Cambria" w:eastAsia="宋体" w:cs="Times New Roman"/>
      <w:b/>
      <w:bCs/>
      <w:kern w:val="0"/>
      <w:sz w:val="32"/>
      <w:szCs w:val="32"/>
    </w:rPr>
  </w:style>
  <w:style w:type="character" w:customStyle="1" w:styleId="17">
    <w:name w:val="标题 6 字符"/>
    <w:link w:val="4"/>
    <w:qFormat/>
    <w:locked/>
    <w:uiPriority w:val="99"/>
    <w:rPr>
      <w:rFonts w:ascii="宋体" w:hAnsi="Times New Roman" w:eastAsia="Times New Roman" w:cs="宋体"/>
      <w:kern w:val="0"/>
      <w:sz w:val="28"/>
      <w:szCs w:val="28"/>
    </w:rPr>
  </w:style>
  <w:style w:type="character" w:customStyle="1" w:styleId="18">
    <w:name w:val="标题 7 字符"/>
    <w:link w:val="5"/>
    <w:qFormat/>
    <w:locked/>
    <w:uiPriority w:val="99"/>
    <w:rPr>
      <w:rFonts w:ascii="Times New Roman" w:hAnsi="Times New Roman" w:cs="Times New Roman"/>
      <w:b/>
      <w:bCs/>
      <w:kern w:val="0"/>
      <w:sz w:val="24"/>
      <w:szCs w:val="24"/>
    </w:rPr>
  </w:style>
  <w:style w:type="character" w:customStyle="1" w:styleId="19">
    <w:name w:val="批注文字 字符"/>
    <w:link w:val="6"/>
    <w:semiHidden/>
    <w:qFormat/>
    <w:locked/>
    <w:uiPriority w:val="99"/>
    <w:rPr>
      <w:rFonts w:ascii="Times New Roman" w:hAnsi="Times New Roman" w:cs="Times New Roman"/>
      <w:kern w:val="0"/>
      <w:sz w:val="24"/>
      <w:szCs w:val="24"/>
    </w:rPr>
  </w:style>
  <w:style w:type="character" w:customStyle="1" w:styleId="20">
    <w:name w:val="批注主题 字符"/>
    <w:link w:val="11"/>
    <w:semiHidden/>
    <w:qFormat/>
    <w:locked/>
    <w:uiPriority w:val="99"/>
    <w:rPr>
      <w:rFonts w:ascii="Times New Roman" w:hAnsi="Times New Roman" w:cs="Times New Roman"/>
      <w:b/>
      <w:bCs/>
      <w:kern w:val="0"/>
      <w:sz w:val="24"/>
      <w:szCs w:val="24"/>
    </w:rPr>
  </w:style>
  <w:style w:type="character" w:customStyle="1" w:styleId="21">
    <w:name w:val="纯文本 字符"/>
    <w:link w:val="7"/>
    <w:qFormat/>
    <w:locked/>
    <w:uiPriority w:val="99"/>
    <w:rPr>
      <w:rFonts w:ascii="宋体" w:hAnsi="Courier New" w:eastAsia="Times New Roman" w:cs="Times New Roman"/>
      <w:sz w:val="20"/>
      <w:szCs w:val="20"/>
      <w:lang w:val="zh-CN" w:eastAsia="zh-CN"/>
    </w:rPr>
  </w:style>
  <w:style w:type="character" w:customStyle="1" w:styleId="22">
    <w:name w:val="批注框文本 字符"/>
    <w:link w:val="8"/>
    <w:semiHidden/>
    <w:qFormat/>
    <w:locked/>
    <w:uiPriority w:val="99"/>
    <w:rPr>
      <w:rFonts w:ascii="Times New Roman" w:hAnsi="Times New Roman" w:cs="Times New Roman"/>
      <w:kern w:val="0"/>
      <w:sz w:val="18"/>
      <w:szCs w:val="18"/>
    </w:rPr>
  </w:style>
  <w:style w:type="character" w:customStyle="1" w:styleId="23">
    <w:name w:val="页脚 字符"/>
    <w:link w:val="9"/>
    <w:qFormat/>
    <w:locked/>
    <w:uiPriority w:val="99"/>
    <w:rPr>
      <w:rFonts w:ascii="Times New Roman" w:hAnsi="Times New Roman" w:cs="Times New Roman"/>
      <w:kern w:val="0"/>
      <w:sz w:val="18"/>
      <w:szCs w:val="18"/>
    </w:rPr>
  </w:style>
  <w:style w:type="character" w:customStyle="1" w:styleId="24">
    <w:name w:val="页眉 字符"/>
    <w:link w:val="10"/>
    <w:qFormat/>
    <w:locked/>
    <w:uiPriority w:val="99"/>
    <w:rPr>
      <w:rFonts w:ascii="Times New Roman" w:hAnsi="Times New Roman" w:cs="Times New Roman"/>
      <w:kern w:val="0"/>
      <w:sz w:val="18"/>
      <w:szCs w:val="18"/>
    </w:rPr>
  </w:style>
  <w:style w:type="paragraph" w:customStyle="1" w:styleId="25">
    <w:name w:val="Table Paragraph"/>
    <w:basedOn w:val="1"/>
    <w:qFormat/>
    <w:uiPriority w:val="99"/>
  </w:style>
  <w:style w:type="paragraph" w:styleId="2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Company>
  <Pages>7</Pages>
  <Words>513</Words>
  <Characters>2930</Characters>
  <Lines>24</Lines>
  <Paragraphs>6</Paragraphs>
  <TotalTime>26</TotalTime>
  <ScaleCrop>false</ScaleCrop>
  <LinksUpToDate>false</LinksUpToDate>
  <CharactersWithSpaces>3437</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2018-11-30T00:35:00Z</dcterms:created>
  <dc:creator>Heather LIU</dc:creator>
  <cp:lastModifiedBy>文</cp:lastModifiedBy>
  <cp:lastPrinted>2020-07-03T00:51:21Z</cp:lastPrinted>
  <dcterms:modified xsi:type="dcterms:W3CDTF">2020-07-03T01:16:58Z</dcterms:modified>
  <dc:title>陕西好猫卷烟材料有限责任公司</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